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018916" w14:textId="77777777" w:rsidR="00C0081E" w:rsidRPr="00421CEA" w:rsidRDefault="00C0081E" w:rsidP="00C97F1B">
      <w:pPr>
        <w:widowControl w:val="0"/>
        <w:tabs>
          <w:tab w:val="left" w:pos="6120"/>
        </w:tabs>
        <w:autoSpaceDE w:val="0"/>
        <w:autoSpaceDN w:val="0"/>
        <w:adjustRightInd w:val="0"/>
        <w:ind w:left="1440"/>
        <w:jc w:val="right"/>
        <w:rPr>
          <w:rFonts w:ascii="Garamond" w:hAnsi="Garamond"/>
        </w:rPr>
      </w:pPr>
      <w:r w:rsidRPr="00421CEA">
        <w:rPr>
          <w:rFonts w:ascii="Garamond" w:hAnsi="Garamond" w:cs="Helvetica"/>
        </w:rPr>
        <w:t xml:space="preserve">                                  </w:t>
      </w:r>
      <w:r w:rsidRPr="00421CEA">
        <w:rPr>
          <w:rFonts w:ascii="Garamond" w:hAnsi="Garamond" w:cs="Helvetica"/>
          <w:noProof/>
        </w:rPr>
        <w:drawing>
          <wp:inline distT="0" distB="0" distL="0" distR="0" wp14:anchorId="57F3D564" wp14:editId="404E4EB2">
            <wp:extent cx="990600" cy="546100"/>
            <wp:effectExtent l="25400" t="0" r="0" b="0"/>
            <wp:docPr id="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srcRect/>
                    <a:stretch>
                      <a:fillRect/>
                    </a:stretch>
                  </pic:blipFill>
                  <pic:spPr bwMode="auto">
                    <a:xfrm>
                      <a:off x="0" y="0"/>
                      <a:ext cx="990600" cy="546100"/>
                    </a:xfrm>
                    <a:prstGeom prst="rect">
                      <a:avLst/>
                    </a:prstGeom>
                    <a:noFill/>
                    <a:ln w="9525">
                      <a:noFill/>
                      <a:miter lim="800000"/>
                      <a:headEnd/>
                      <a:tailEnd/>
                    </a:ln>
                  </pic:spPr>
                </pic:pic>
              </a:graphicData>
            </a:graphic>
          </wp:inline>
        </w:drawing>
      </w:r>
      <w:r w:rsidRPr="00421CEA">
        <w:rPr>
          <w:rFonts w:ascii="Garamond" w:hAnsi="Garamond"/>
          <w:noProof/>
        </w:rPr>
        <w:drawing>
          <wp:anchor distT="0" distB="0" distL="114300" distR="114300" simplePos="0" relativeHeight="251659264" behindDoc="0" locked="0" layoutInCell="1" allowOverlap="1" wp14:anchorId="172DD5B0" wp14:editId="546B7E4E">
            <wp:simplePos x="0" y="0"/>
            <wp:positionH relativeFrom="column">
              <wp:posOffset>0</wp:posOffset>
            </wp:positionH>
            <wp:positionV relativeFrom="paragraph">
              <wp:posOffset>-112395</wp:posOffset>
            </wp:positionV>
            <wp:extent cx="2628900" cy="732155"/>
            <wp:effectExtent l="25400" t="0" r="0" b="0"/>
            <wp:wrapTight wrapText="bothSides">
              <wp:wrapPolygon edited="0">
                <wp:start x="-209" y="0"/>
                <wp:lineTo x="-209" y="20982"/>
                <wp:lineTo x="21496" y="20982"/>
                <wp:lineTo x="21496" y="0"/>
                <wp:lineTo x="-209" y="0"/>
              </wp:wrapPolygon>
            </wp:wrapTight>
            <wp:docPr id="2" name="Immagine 1" descr="Description: Description: Macintosh HD:Users:giudittabassano:Desktop:Schermata 05-2456788 alle 09.45.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Description: Description: Macintosh HD:Users:giudittabassano:Desktop:Schermata 05-2456788 alle 09.45.52.png"/>
                    <pic:cNvPicPr>
                      <a:picLocks noChangeAspect="1" noChangeArrowheads="1"/>
                    </pic:cNvPicPr>
                  </pic:nvPicPr>
                  <pic:blipFill>
                    <a:blip r:embed="rId8"/>
                    <a:srcRect/>
                    <a:stretch>
                      <a:fillRect/>
                    </a:stretch>
                  </pic:blipFill>
                  <pic:spPr bwMode="auto">
                    <a:xfrm>
                      <a:off x="0" y="0"/>
                      <a:ext cx="2628900" cy="732155"/>
                    </a:xfrm>
                    <a:prstGeom prst="rect">
                      <a:avLst/>
                    </a:prstGeom>
                    <a:noFill/>
                    <a:ln w="9525">
                      <a:noFill/>
                      <a:miter lim="800000"/>
                      <a:headEnd/>
                      <a:tailEnd/>
                    </a:ln>
                  </pic:spPr>
                </pic:pic>
              </a:graphicData>
            </a:graphic>
          </wp:anchor>
        </w:drawing>
      </w:r>
    </w:p>
    <w:p w14:paraId="42F4EB5B" w14:textId="77777777" w:rsidR="00C0081E" w:rsidRPr="00421CEA" w:rsidRDefault="00C0081E" w:rsidP="00C0081E">
      <w:pPr>
        <w:widowControl w:val="0"/>
        <w:autoSpaceDE w:val="0"/>
        <w:autoSpaceDN w:val="0"/>
        <w:adjustRightInd w:val="0"/>
        <w:rPr>
          <w:rFonts w:ascii="Garamond" w:hAnsi="Garamond"/>
        </w:rPr>
      </w:pPr>
    </w:p>
    <w:p w14:paraId="48F5DE25" w14:textId="77777777" w:rsidR="00C0081E" w:rsidRPr="00421CEA" w:rsidRDefault="00F27075" w:rsidP="00C0081E">
      <w:pPr>
        <w:widowControl w:val="0"/>
        <w:autoSpaceDE w:val="0"/>
        <w:autoSpaceDN w:val="0"/>
        <w:adjustRightInd w:val="0"/>
        <w:jc w:val="both"/>
        <w:rPr>
          <w:rFonts w:ascii="Garamond" w:hAnsi="Garamond" w:cs="Helvetica"/>
          <w:b/>
        </w:rPr>
      </w:pPr>
      <w:hyperlink r:id="rId9" w:history="1">
        <w:r w:rsidR="00C0081E" w:rsidRPr="00421CEA">
          <w:rPr>
            <w:rStyle w:val="Hyperlink"/>
            <w:rFonts w:ascii="Garamond" w:hAnsi="Garamond" w:cs="Helvetica"/>
            <w:b/>
            <w:color w:val="1C4197"/>
          </w:rPr>
          <w:t>http://www.gendersexualityitaly.com</w:t>
        </w:r>
      </w:hyperlink>
      <w:r w:rsidR="00C0081E" w:rsidRPr="00421CEA">
        <w:rPr>
          <w:rFonts w:ascii="Garamond" w:hAnsi="Garamond" w:cs="Helvetica"/>
          <w:b/>
        </w:rPr>
        <w:tab/>
      </w:r>
    </w:p>
    <w:p w14:paraId="1B581459" w14:textId="77777777" w:rsidR="00C0081E" w:rsidRPr="00421CEA" w:rsidRDefault="00C0081E" w:rsidP="00C0081E">
      <w:pPr>
        <w:widowControl w:val="0"/>
        <w:autoSpaceDE w:val="0"/>
        <w:autoSpaceDN w:val="0"/>
        <w:adjustRightInd w:val="0"/>
        <w:jc w:val="both"/>
        <w:rPr>
          <w:rFonts w:ascii="Garamond" w:hAnsi="Garamond" w:cs="Helvetica"/>
          <w:b/>
        </w:rPr>
      </w:pPr>
    </w:p>
    <w:p w14:paraId="1D116B2F" w14:textId="77777777" w:rsidR="00C0081E" w:rsidRPr="00421CEA" w:rsidRDefault="00C0081E" w:rsidP="00C0081E">
      <w:pPr>
        <w:widowControl w:val="0"/>
        <w:autoSpaceDE w:val="0"/>
        <w:autoSpaceDN w:val="0"/>
        <w:adjustRightInd w:val="0"/>
        <w:jc w:val="both"/>
        <w:rPr>
          <w:rFonts w:ascii="Garamond" w:hAnsi="Garamond" w:cs="Helvetica"/>
        </w:rPr>
      </w:pPr>
      <w:r w:rsidRPr="00421CEA">
        <w:rPr>
          <w:rFonts w:ascii="Garamond" w:hAnsi="Garamond"/>
          <w:b/>
        </w:rPr>
        <w:t>g/s/i</w:t>
      </w:r>
      <w:r w:rsidRPr="00421CEA">
        <w:rPr>
          <w:rFonts w:ascii="Garamond" w:hAnsi="Garamond"/>
        </w:rPr>
        <w:t xml:space="preserve"> is </w:t>
      </w:r>
      <w:r w:rsidRPr="00421CEA">
        <w:rPr>
          <w:rFonts w:ascii="Garamond" w:hAnsi="Garamond" w:cs="Times"/>
          <w:color w:val="343434"/>
        </w:rPr>
        <w:t>an annual peer-reviewed journal which publishes research on gendered identities and the ways they intersect with and produce Italian politics, culture, and society by way of a variety of cultural productions, discourses, and practices spanning historical, social, and geopolitical boundaries. </w:t>
      </w:r>
      <w:r w:rsidRPr="00421CEA" w:rsidDel="000322BD">
        <w:rPr>
          <w:rFonts w:ascii="Garamond" w:hAnsi="Garamond" w:cs="Helvetica"/>
          <w:b/>
          <w:color w:val="343434"/>
        </w:rPr>
        <w:t xml:space="preserve"> </w:t>
      </w:r>
    </w:p>
    <w:p w14:paraId="40499D2D" w14:textId="77777777" w:rsidR="00C0081E" w:rsidRPr="00421CEA" w:rsidRDefault="00C0081E" w:rsidP="00C0081E">
      <w:pPr>
        <w:jc w:val="both"/>
        <w:rPr>
          <w:rFonts w:ascii="Garamond" w:hAnsi="Garamond" w:cs="Helvetica"/>
          <w:b/>
        </w:rPr>
      </w:pPr>
    </w:p>
    <w:p w14:paraId="4D203838" w14:textId="41174DBA" w:rsidR="00D5528C" w:rsidRPr="00421CEA" w:rsidRDefault="00C0081E" w:rsidP="00AD3B0B">
      <w:pPr>
        <w:widowControl w:val="0"/>
        <w:autoSpaceDE w:val="0"/>
        <w:autoSpaceDN w:val="0"/>
        <w:adjustRightInd w:val="0"/>
        <w:jc w:val="both"/>
        <w:rPr>
          <w:rFonts w:ascii="Garamond" w:eastAsia="Garamond" w:hAnsi="Garamond" w:cs="Garamond"/>
        </w:rPr>
      </w:pPr>
      <w:r w:rsidRPr="00421CEA">
        <w:rPr>
          <w:rFonts w:ascii="Garamond" w:hAnsi="Garamond" w:cs="Helvetica"/>
          <w:b/>
        </w:rPr>
        <w:t>Title:</w:t>
      </w:r>
      <w:r w:rsidRPr="00421CEA">
        <w:rPr>
          <w:rFonts w:ascii="Garamond" w:hAnsi="Garamond" w:cs="Helvetica"/>
        </w:rPr>
        <w:t xml:space="preserve"> </w:t>
      </w:r>
      <w:r w:rsidR="00362A1E" w:rsidRPr="00421CEA">
        <w:rPr>
          <w:rFonts w:ascii="Garamond" w:hAnsi="Garamond" w:cs="Helvetica"/>
        </w:rPr>
        <w:t>Book</w:t>
      </w:r>
      <w:r w:rsidRPr="00421CEA">
        <w:rPr>
          <w:rFonts w:ascii="Garamond" w:hAnsi="Garamond" w:cs="Helvetica"/>
        </w:rPr>
        <w:t xml:space="preserve"> Review: </w:t>
      </w:r>
      <w:r w:rsidR="00BF443F" w:rsidRPr="00421CEA">
        <w:rPr>
          <w:rFonts w:ascii="Garamond" w:eastAsia="Garamond" w:hAnsi="Garamond" w:cs="Garamond"/>
          <w:i/>
        </w:rPr>
        <w:t>Race, Nation and Gender in Modern Italy. Intersectional Representations in Visual Culture</w:t>
      </w:r>
      <w:r w:rsidR="00BF443F" w:rsidRPr="00421CEA">
        <w:rPr>
          <w:rFonts w:ascii="Garamond" w:eastAsia="Garamond" w:hAnsi="Garamond" w:cs="Garamond"/>
        </w:rPr>
        <w:t xml:space="preserve"> by Gaia Giuliani</w:t>
      </w:r>
    </w:p>
    <w:p w14:paraId="7AFFD659" w14:textId="77777777" w:rsidR="00F3451B" w:rsidRPr="00421CEA" w:rsidRDefault="00F3451B" w:rsidP="00AD3B0B">
      <w:pPr>
        <w:widowControl w:val="0"/>
        <w:autoSpaceDE w:val="0"/>
        <w:autoSpaceDN w:val="0"/>
        <w:adjustRightInd w:val="0"/>
        <w:jc w:val="both"/>
        <w:rPr>
          <w:rFonts w:ascii="Garamond" w:hAnsi="Garamond" w:cs="Helvetica"/>
          <w:b/>
        </w:rPr>
      </w:pPr>
    </w:p>
    <w:p w14:paraId="016CE658" w14:textId="6038FCF0" w:rsidR="00C0081E" w:rsidRPr="00421CEA" w:rsidRDefault="00C0081E" w:rsidP="00C0081E">
      <w:pPr>
        <w:widowControl w:val="0"/>
        <w:autoSpaceDE w:val="0"/>
        <w:autoSpaceDN w:val="0"/>
        <w:adjustRightInd w:val="0"/>
        <w:jc w:val="both"/>
        <w:rPr>
          <w:rFonts w:ascii="Garamond" w:hAnsi="Garamond"/>
        </w:rPr>
      </w:pPr>
      <w:r w:rsidRPr="00421CEA">
        <w:rPr>
          <w:rFonts w:ascii="Garamond" w:hAnsi="Garamond" w:cs="Helvetica"/>
          <w:b/>
        </w:rPr>
        <w:t xml:space="preserve">Journal Issue: </w:t>
      </w:r>
      <w:r w:rsidR="009C6A7A" w:rsidRPr="00421CEA">
        <w:rPr>
          <w:rFonts w:ascii="Garamond" w:hAnsi="Garamond"/>
        </w:rPr>
        <w:t>gender/sexuality/italy, 7 (2020</w:t>
      </w:r>
      <w:r w:rsidRPr="00421CEA">
        <w:rPr>
          <w:rFonts w:ascii="Garamond" w:hAnsi="Garamond"/>
        </w:rPr>
        <w:t>)</w:t>
      </w:r>
    </w:p>
    <w:p w14:paraId="53492ACB" w14:textId="77777777" w:rsidR="00264B8F" w:rsidRPr="00421CEA" w:rsidRDefault="00264B8F" w:rsidP="00C0081E">
      <w:pPr>
        <w:widowControl w:val="0"/>
        <w:autoSpaceDE w:val="0"/>
        <w:autoSpaceDN w:val="0"/>
        <w:adjustRightInd w:val="0"/>
        <w:jc w:val="both"/>
        <w:rPr>
          <w:rFonts w:ascii="Garamond" w:hAnsi="Garamond" w:cs="Helvetica"/>
        </w:rPr>
      </w:pPr>
    </w:p>
    <w:p w14:paraId="7D384B99" w14:textId="4D7F8630" w:rsidR="00B07C49" w:rsidRPr="00421CEA" w:rsidRDefault="00C0081E" w:rsidP="00B07C49">
      <w:pPr>
        <w:autoSpaceDE w:val="0"/>
        <w:autoSpaceDN w:val="0"/>
        <w:adjustRightInd w:val="0"/>
        <w:snapToGrid w:val="0"/>
        <w:jc w:val="both"/>
        <w:rPr>
          <w:rFonts w:ascii="Garamond" w:hAnsi="Garamond"/>
        </w:rPr>
      </w:pPr>
      <w:r w:rsidRPr="00421CEA">
        <w:rPr>
          <w:rFonts w:ascii="Garamond" w:hAnsi="Garamond" w:cs="Helvetica"/>
          <w:b/>
        </w:rPr>
        <w:t xml:space="preserve">Author: </w:t>
      </w:r>
      <w:r w:rsidR="00BF443F" w:rsidRPr="00421CEA">
        <w:rPr>
          <w:rFonts w:ascii="Garamond" w:hAnsi="Garamond"/>
        </w:rPr>
        <w:t xml:space="preserve">Gianmarco Mancosu </w:t>
      </w:r>
    </w:p>
    <w:p w14:paraId="38FB9466" w14:textId="77777777" w:rsidR="00264B8F" w:rsidRPr="00421CEA" w:rsidRDefault="00264B8F" w:rsidP="00AD3B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outlineLvl w:val="0"/>
        <w:rPr>
          <w:rFonts w:ascii="Garamond" w:eastAsia="Garamond" w:hAnsi="Garamond" w:cs="Garamond"/>
        </w:rPr>
      </w:pPr>
    </w:p>
    <w:p w14:paraId="3D820892" w14:textId="47C84F09" w:rsidR="00C0081E" w:rsidRPr="00421CEA" w:rsidRDefault="00C0081E" w:rsidP="00C0081E">
      <w:pPr>
        <w:widowControl w:val="0"/>
        <w:autoSpaceDE w:val="0"/>
        <w:autoSpaceDN w:val="0"/>
        <w:adjustRightInd w:val="0"/>
        <w:jc w:val="both"/>
        <w:rPr>
          <w:rFonts w:ascii="Garamond" w:hAnsi="Garamond" w:cs="Helvetica"/>
        </w:rPr>
      </w:pPr>
      <w:r w:rsidRPr="00421CEA">
        <w:rPr>
          <w:rFonts w:ascii="Garamond" w:hAnsi="Garamond" w:cs="Helvetica"/>
          <w:b/>
        </w:rPr>
        <w:t xml:space="preserve">Publication date: </w:t>
      </w:r>
      <w:r w:rsidR="009C6A7A" w:rsidRPr="00421CEA">
        <w:rPr>
          <w:rFonts w:ascii="Garamond" w:hAnsi="Garamond" w:cs="Helvetica"/>
        </w:rPr>
        <w:t>December</w:t>
      </w:r>
      <w:r w:rsidR="00F40A59" w:rsidRPr="00421CEA">
        <w:rPr>
          <w:rFonts w:ascii="Garamond" w:hAnsi="Garamond" w:cs="Helvetica"/>
          <w:b/>
        </w:rPr>
        <w:t xml:space="preserve"> </w:t>
      </w:r>
      <w:r w:rsidR="009C6A7A" w:rsidRPr="00421CEA">
        <w:rPr>
          <w:rFonts w:ascii="Garamond" w:hAnsi="Garamond" w:cs="Helvetica"/>
        </w:rPr>
        <w:t>2020</w:t>
      </w:r>
    </w:p>
    <w:p w14:paraId="2678E10D" w14:textId="77777777" w:rsidR="00264B8F" w:rsidRPr="00421CEA" w:rsidRDefault="00264B8F" w:rsidP="00C0081E">
      <w:pPr>
        <w:widowControl w:val="0"/>
        <w:autoSpaceDE w:val="0"/>
        <w:autoSpaceDN w:val="0"/>
        <w:adjustRightInd w:val="0"/>
        <w:jc w:val="both"/>
        <w:rPr>
          <w:rFonts w:ascii="Garamond" w:hAnsi="Garamond" w:cs="Helvetica"/>
        </w:rPr>
      </w:pPr>
    </w:p>
    <w:p w14:paraId="60BBEB2B" w14:textId="468B97E2" w:rsidR="00C0081E" w:rsidRPr="00421CEA" w:rsidRDefault="00C0081E" w:rsidP="00C0081E">
      <w:pPr>
        <w:widowControl w:val="0"/>
        <w:autoSpaceDE w:val="0"/>
        <w:autoSpaceDN w:val="0"/>
        <w:adjustRightInd w:val="0"/>
        <w:jc w:val="both"/>
        <w:rPr>
          <w:rFonts w:ascii="Garamond" w:hAnsi="Garamond" w:cs="Helvetica"/>
        </w:rPr>
      </w:pPr>
      <w:r w:rsidRPr="00421CEA">
        <w:rPr>
          <w:rFonts w:ascii="Garamond" w:hAnsi="Garamond" w:cs="Helvetica"/>
          <w:b/>
        </w:rPr>
        <w:t xml:space="preserve">Publication info: </w:t>
      </w:r>
      <w:r w:rsidRPr="00421CEA">
        <w:rPr>
          <w:rFonts w:ascii="Garamond" w:hAnsi="Garamond" w:cs="Helvetica"/>
        </w:rPr>
        <w:t>gender/sexuality/italy, “Reviews”  </w:t>
      </w:r>
    </w:p>
    <w:p w14:paraId="065E7AF4" w14:textId="77777777" w:rsidR="00264B8F" w:rsidRPr="00421CEA" w:rsidRDefault="00264B8F" w:rsidP="00C0081E">
      <w:pPr>
        <w:widowControl w:val="0"/>
        <w:autoSpaceDE w:val="0"/>
        <w:autoSpaceDN w:val="0"/>
        <w:adjustRightInd w:val="0"/>
        <w:jc w:val="both"/>
        <w:rPr>
          <w:rFonts w:ascii="Garamond" w:hAnsi="Garamond" w:cs="Helvetica"/>
        </w:rPr>
      </w:pPr>
    </w:p>
    <w:p w14:paraId="55CB65D4" w14:textId="6701A2E9" w:rsidR="00C0081E" w:rsidRPr="00421CEA" w:rsidRDefault="00C0081E" w:rsidP="00AD3B0B">
      <w:pPr>
        <w:rPr>
          <w:rStyle w:val="Hyperlink"/>
          <w:rFonts w:ascii="Garamond" w:eastAsia="Times New Roman" w:hAnsi="Garamond"/>
          <w14:textFill>
            <w14:solidFill>
              <w14:srgbClr w14:val="0563C1">
                <w14:lumMod w14:val="75000"/>
              </w14:srgbClr>
            </w14:solidFill>
          </w14:textFill>
        </w:rPr>
      </w:pPr>
      <w:r w:rsidRPr="00421CEA">
        <w:rPr>
          <w:rFonts w:ascii="Garamond" w:hAnsi="Garamond" w:cs="Helvetica"/>
          <w:b/>
        </w:rPr>
        <w:t>Permalink:</w:t>
      </w:r>
      <w:r w:rsidR="00F40A59" w:rsidRPr="00421CEA">
        <w:rPr>
          <w:rFonts w:ascii="Garamond" w:hAnsi="Garamond" w:cs="Helvetica"/>
          <w:b/>
        </w:rPr>
        <w:t xml:space="preserve"> </w:t>
      </w:r>
      <w:hyperlink r:id="rId10" w:history="1">
        <w:r w:rsidR="00000B3B" w:rsidRPr="00421CEA">
          <w:rPr>
            <w:rStyle w:val="Hyperlink"/>
            <w:rFonts w:ascii="Garamond" w:hAnsi="Garamond" w:cs="Helvetica"/>
            <w:highlight w:val="yellow"/>
          </w:rPr>
          <w:t>http://www.gendersexualityitaly.com/?p=4313</w:t>
        </w:r>
      </w:hyperlink>
      <w:r w:rsidR="00000B3B" w:rsidRPr="00421CEA">
        <w:rPr>
          <w:rFonts w:ascii="Garamond" w:hAnsi="Garamond" w:cs="Helvetica"/>
        </w:rPr>
        <w:t xml:space="preserve"> </w:t>
      </w:r>
    </w:p>
    <w:p w14:paraId="719FA433" w14:textId="77777777" w:rsidR="00264B8F" w:rsidRPr="00421CEA" w:rsidRDefault="00264B8F" w:rsidP="00AD3B0B">
      <w:pPr>
        <w:rPr>
          <w:rFonts w:ascii="Garamond" w:eastAsia="Times New Roman" w:hAnsi="Garamond"/>
          <w:color w:val="2F5496" w:themeColor="accent1" w:themeShade="BF"/>
        </w:rPr>
      </w:pPr>
    </w:p>
    <w:p w14:paraId="7A12F288" w14:textId="38F2FB0C" w:rsidR="008D09BC" w:rsidRPr="00421CEA" w:rsidRDefault="008D09BC" w:rsidP="008D09BC">
      <w:pPr>
        <w:widowControl w:val="0"/>
        <w:autoSpaceDE w:val="0"/>
        <w:autoSpaceDN w:val="0"/>
        <w:adjustRightInd w:val="0"/>
        <w:jc w:val="both"/>
        <w:rPr>
          <w:rFonts w:ascii="Garamond" w:hAnsi="Garamond" w:cs="Helvetica"/>
        </w:rPr>
      </w:pPr>
      <w:r w:rsidRPr="00421CEA">
        <w:rPr>
          <w:rFonts w:ascii="Garamond" w:hAnsi="Garamond" w:cs="Helvetica"/>
          <w:b/>
        </w:rPr>
        <w:t xml:space="preserve">Keywords: </w:t>
      </w:r>
      <w:r w:rsidR="00362A1E" w:rsidRPr="00421CEA">
        <w:rPr>
          <w:rFonts w:ascii="Garamond" w:hAnsi="Garamond" w:cs="Helvetica"/>
        </w:rPr>
        <w:t>Book</w:t>
      </w:r>
      <w:r w:rsidR="00F3451B" w:rsidRPr="00421CEA">
        <w:rPr>
          <w:rFonts w:ascii="Garamond" w:hAnsi="Garamond" w:cs="Helvetica"/>
        </w:rPr>
        <w:t xml:space="preserve"> Review</w:t>
      </w:r>
    </w:p>
    <w:p w14:paraId="770E553F" w14:textId="77777777" w:rsidR="00C0081E" w:rsidRPr="00421CEA" w:rsidRDefault="00C0081E" w:rsidP="00C0081E">
      <w:pPr>
        <w:widowControl w:val="0"/>
        <w:autoSpaceDE w:val="0"/>
        <w:autoSpaceDN w:val="0"/>
        <w:adjustRightInd w:val="0"/>
        <w:jc w:val="both"/>
        <w:rPr>
          <w:rFonts w:ascii="Garamond" w:hAnsi="Garamond" w:cs="Helvetica"/>
          <w:b/>
        </w:rPr>
      </w:pPr>
    </w:p>
    <w:p w14:paraId="7BE94CEA" w14:textId="77777777" w:rsidR="00C0081E" w:rsidRPr="00421CEA" w:rsidRDefault="00C0081E" w:rsidP="00C0081E">
      <w:pPr>
        <w:widowControl w:val="0"/>
        <w:autoSpaceDE w:val="0"/>
        <w:autoSpaceDN w:val="0"/>
        <w:adjustRightInd w:val="0"/>
        <w:jc w:val="both"/>
        <w:rPr>
          <w:rFonts w:ascii="Garamond" w:hAnsi="Garamond" w:cs="Helvetica"/>
          <w:b/>
        </w:rPr>
      </w:pPr>
    </w:p>
    <w:p w14:paraId="4038B71A" w14:textId="77777777" w:rsidR="00C0081E" w:rsidRPr="00421CEA" w:rsidRDefault="00C0081E" w:rsidP="00C0081E">
      <w:pPr>
        <w:widowControl w:val="0"/>
        <w:autoSpaceDE w:val="0"/>
        <w:autoSpaceDN w:val="0"/>
        <w:adjustRightInd w:val="0"/>
        <w:jc w:val="both"/>
        <w:rPr>
          <w:rFonts w:ascii="Garamond" w:hAnsi="Garamond" w:cs="Helvetica"/>
          <w:b/>
        </w:rPr>
      </w:pPr>
    </w:p>
    <w:p w14:paraId="5AD5314B" w14:textId="77777777" w:rsidR="00C0081E" w:rsidRPr="00421CEA" w:rsidRDefault="00C0081E" w:rsidP="00C0081E">
      <w:pPr>
        <w:widowControl w:val="0"/>
        <w:autoSpaceDE w:val="0"/>
        <w:autoSpaceDN w:val="0"/>
        <w:adjustRightInd w:val="0"/>
        <w:jc w:val="both"/>
        <w:rPr>
          <w:rFonts w:ascii="Garamond" w:hAnsi="Garamond" w:cs="Helvetica"/>
          <w:b/>
        </w:rPr>
      </w:pPr>
    </w:p>
    <w:p w14:paraId="3FD0E3B6" w14:textId="77777777" w:rsidR="00C0081E" w:rsidRPr="00421CEA" w:rsidRDefault="00C0081E" w:rsidP="00C0081E">
      <w:pPr>
        <w:widowControl w:val="0"/>
        <w:autoSpaceDE w:val="0"/>
        <w:autoSpaceDN w:val="0"/>
        <w:adjustRightInd w:val="0"/>
        <w:jc w:val="both"/>
        <w:rPr>
          <w:rFonts w:ascii="Garamond" w:hAnsi="Garamond" w:cs="Helvetica"/>
          <w:b/>
        </w:rPr>
      </w:pPr>
    </w:p>
    <w:p w14:paraId="4BBC924F" w14:textId="77777777" w:rsidR="00C0081E" w:rsidRPr="00421CEA" w:rsidRDefault="00C0081E" w:rsidP="00C0081E">
      <w:pPr>
        <w:widowControl w:val="0"/>
        <w:autoSpaceDE w:val="0"/>
        <w:autoSpaceDN w:val="0"/>
        <w:adjustRightInd w:val="0"/>
        <w:jc w:val="both"/>
        <w:rPr>
          <w:rFonts w:ascii="Garamond" w:hAnsi="Garamond" w:cs="Helvetica"/>
          <w:b/>
        </w:rPr>
      </w:pPr>
    </w:p>
    <w:p w14:paraId="1C45CEB2" w14:textId="77777777" w:rsidR="00C0081E" w:rsidRPr="00421CEA" w:rsidRDefault="00C0081E" w:rsidP="00C0081E">
      <w:pPr>
        <w:widowControl w:val="0"/>
        <w:autoSpaceDE w:val="0"/>
        <w:autoSpaceDN w:val="0"/>
        <w:adjustRightInd w:val="0"/>
        <w:jc w:val="both"/>
        <w:rPr>
          <w:rFonts w:ascii="Garamond" w:hAnsi="Garamond" w:cs="Helvetica"/>
          <w:b/>
        </w:rPr>
      </w:pPr>
    </w:p>
    <w:p w14:paraId="3D174F04" w14:textId="77777777" w:rsidR="00C0081E" w:rsidRPr="00421CEA" w:rsidRDefault="00C0081E" w:rsidP="00C0081E">
      <w:pPr>
        <w:widowControl w:val="0"/>
        <w:autoSpaceDE w:val="0"/>
        <w:autoSpaceDN w:val="0"/>
        <w:adjustRightInd w:val="0"/>
        <w:jc w:val="both"/>
        <w:rPr>
          <w:rFonts w:ascii="Garamond" w:hAnsi="Garamond" w:cs="Helvetica"/>
          <w:b/>
        </w:rPr>
      </w:pPr>
    </w:p>
    <w:p w14:paraId="423F29D0" w14:textId="77777777" w:rsidR="00C0081E" w:rsidRPr="00421CEA" w:rsidRDefault="00C0081E" w:rsidP="00C0081E">
      <w:pPr>
        <w:widowControl w:val="0"/>
        <w:autoSpaceDE w:val="0"/>
        <w:autoSpaceDN w:val="0"/>
        <w:adjustRightInd w:val="0"/>
        <w:jc w:val="both"/>
        <w:rPr>
          <w:rFonts w:ascii="Garamond" w:hAnsi="Garamond" w:cs="Helvetica"/>
          <w:b/>
        </w:rPr>
      </w:pPr>
    </w:p>
    <w:p w14:paraId="0C33F6D8" w14:textId="77777777" w:rsidR="00C0081E" w:rsidRPr="00421CEA" w:rsidRDefault="00C0081E" w:rsidP="00C0081E">
      <w:pPr>
        <w:widowControl w:val="0"/>
        <w:autoSpaceDE w:val="0"/>
        <w:autoSpaceDN w:val="0"/>
        <w:adjustRightInd w:val="0"/>
        <w:jc w:val="both"/>
        <w:rPr>
          <w:rFonts w:ascii="Garamond" w:hAnsi="Garamond" w:cs="Helvetica"/>
          <w:b/>
        </w:rPr>
      </w:pPr>
    </w:p>
    <w:p w14:paraId="40916D9F" w14:textId="77777777" w:rsidR="00C0081E" w:rsidRPr="00421CEA" w:rsidRDefault="00C0081E" w:rsidP="00C0081E">
      <w:pPr>
        <w:widowControl w:val="0"/>
        <w:autoSpaceDE w:val="0"/>
        <w:autoSpaceDN w:val="0"/>
        <w:adjustRightInd w:val="0"/>
        <w:jc w:val="both"/>
        <w:rPr>
          <w:rFonts w:ascii="Garamond" w:hAnsi="Garamond" w:cs="Helvetica"/>
          <w:b/>
        </w:rPr>
      </w:pPr>
    </w:p>
    <w:p w14:paraId="1C0523E8" w14:textId="77777777" w:rsidR="00C0081E" w:rsidRPr="00421CEA" w:rsidRDefault="00C0081E" w:rsidP="00C0081E">
      <w:pPr>
        <w:widowControl w:val="0"/>
        <w:autoSpaceDE w:val="0"/>
        <w:autoSpaceDN w:val="0"/>
        <w:adjustRightInd w:val="0"/>
        <w:jc w:val="both"/>
        <w:rPr>
          <w:rFonts w:ascii="Garamond" w:hAnsi="Garamond" w:cs="Helvetica"/>
          <w:b/>
          <w:u w:color="1C4197"/>
        </w:rPr>
      </w:pPr>
      <w:r w:rsidRPr="00421CEA">
        <w:rPr>
          <w:rFonts w:ascii="Garamond" w:hAnsi="Garamond" w:cs="Helvetica"/>
          <w:b/>
          <w:u w:color="1C4197"/>
        </w:rPr>
        <w:t>Copyright information</w:t>
      </w:r>
    </w:p>
    <w:p w14:paraId="0C3F3E7F" w14:textId="77777777" w:rsidR="00C0081E" w:rsidRPr="00421CEA" w:rsidRDefault="00C0081E" w:rsidP="00C0081E">
      <w:pPr>
        <w:jc w:val="both"/>
        <w:rPr>
          <w:rFonts w:ascii="Garamond" w:hAnsi="Garamond"/>
        </w:rPr>
      </w:pPr>
      <w:r w:rsidRPr="00421CEA">
        <w:rPr>
          <w:rFonts w:ascii="Garamond" w:hAnsi="Garamond"/>
          <w:b/>
          <w:bCs/>
        </w:rPr>
        <w:t>g/s/i</w:t>
      </w:r>
      <w:r w:rsidRPr="00421CEA">
        <w:rPr>
          <w:rFonts w:ascii="Garamond" w:hAnsi="Garamond"/>
        </w:rPr>
        <w:t xml:space="preserve"> is published online and is an open-access journal. All content, including multimedia files, is freely available without charge to the user or his/her institution and is published according to the Creative Commons License, which does not allow commercial use of published work or its manipulation in derivative forms. Content can be downloaded and cited as specified by the author/s. </w:t>
      </w:r>
      <w:r w:rsidRPr="00421CEA">
        <w:rPr>
          <w:rFonts w:ascii="Garamond" w:hAnsi="Garamond" w:cs="Helvetica"/>
          <w:b/>
          <w:color w:val="343434"/>
        </w:rPr>
        <w:t xml:space="preserve">However, the Editorial Board recommends providing the link to the article (not sharing the PDF) so that the author/s can receive credit for each access to his/her work, which is only published online. </w:t>
      </w:r>
    </w:p>
    <w:p w14:paraId="31969C02" w14:textId="35019F86" w:rsidR="00B4785E" w:rsidRPr="00421CEA" w:rsidRDefault="00C0081E" w:rsidP="00D5528C">
      <w:pPr>
        <w:rPr>
          <w:rFonts w:ascii="Garamond" w:hAnsi="Garamond"/>
          <w:color w:val="FB0056"/>
        </w:rPr>
        <w:sectPr w:rsidR="00B4785E" w:rsidRPr="00421CEA">
          <w:headerReference w:type="even" r:id="rId11"/>
          <w:headerReference w:type="default" r:id="rId12"/>
          <w:footerReference w:type="even" r:id="rId13"/>
          <w:footerReference w:type="default" r:id="rId14"/>
          <w:footerReference w:type="first" r:id="rId15"/>
          <w:pgSz w:w="12240" w:h="15840"/>
          <w:pgMar w:top="1440" w:right="1440" w:bottom="1440" w:left="1440" w:header="720" w:footer="720" w:gutter="0"/>
          <w:pgNumType w:start="0"/>
          <w:cols w:space="720"/>
          <w:titlePg/>
        </w:sectPr>
      </w:pPr>
      <w:r w:rsidRPr="00421CEA">
        <w:rPr>
          <w:rFonts w:ascii="Garamond" w:hAnsi="Garamond"/>
          <w:noProof/>
        </w:rPr>
        <w:drawing>
          <wp:anchor distT="0" distB="0" distL="114300" distR="114300" simplePos="0" relativeHeight="251657216" behindDoc="0" locked="0" layoutInCell="1" allowOverlap="1" wp14:anchorId="3AD9471C" wp14:editId="3C89CFAB">
            <wp:simplePos x="0" y="0"/>
            <wp:positionH relativeFrom="column">
              <wp:posOffset>0</wp:posOffset>
            </wp:positionH>
            <wp:positionV relativeFrom="paragraph">
              <wp:posOffset>44450</wp:posOffset>
            </wp:positionV>
            <wp:extent cx="660400" cy="234950"/>
            <wp:effectExtent l="25400" t="0" r="0" b="0"/>
            <wp:wrapTight wrapText="bothSides">
              <wp:wrapPolygon edited="0">
                <wp:start x="-831" y="0"/>
                <wp:lineTo x="-831" y="21016"/>
                <wp:lineTo x="21600" y="21016"/>
                <wp:lineTo x="21600" y="0"/>
                <wp:lineTo x="-831" y="0"/>
              </wp:wrapPolygon>
            </wp:wrapTight>
            <wp:docPr id="4" name="Picture 3">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6"/>
                    </pic:cNvPr>
                    <pic:cNvPicPr>
                      <a:picLocks noChangeAspect="1" noChangeArrowheads="1"/>
                    </pic:cNvPicPr>
                  </pic:nvPicPr>
                  <pic:blipFill>
                    <a:blip r:embed="rId17"/>
                    <a:srcRect/>
                    <a:stretch>
                      <a:fillRect/>
                    </a:stretch>
                  </pic:blipFill>
                  <pic:spPr bwMode="auto">
                    <a:xfrm>
                      <a:off x="0" y="0"/>
                      <a:ext cx="660400" cy="234950"/>
                    </a:xfrm>
                    <a:prstGeom prst="rect">
                      <a:avLst/>
                    </a:prstGeom>
                    <a:noFill/>
                  </pic:spPr>
                </pic:pic>
              </a:graphicData>
            </a:graphic>
          </wp:anchor>
        </w:drawing>
      </w:r>
      <w:r w:rsidRPr="00421CEA">
        <w:rPr>
          <w:rFonts w:ascii="Garamond" w:hAnsi="Garamond"/>
        </w:rPr>
        <w:t xml:space="preserve">This work is licensed under a </w:t>
      </w:r>
      <w:hyperlink r:id="rId18" w:history="1">
        <w:r w:rsidRPr="00421CEA">
          <w:rPr>
            <w:rFonts w:ascii="Garamond" w:hAnsi="Garamond"/>
            <w:color w:val="FB0056"/>
          </w:rPr>
          <w:t>Creative Commons Attribution-</w:t>
        </w:r>
        <w:proofErr w:type="spellStart"/>
        <w:r w:rsidRPr="00421CEA">
          <w:rPr>
            <w:rFonts w:ascii="Garamond" w:hAnsi="Garamond"/>
            <w:color w:val="FB0056"/>
          </w:rPr>
          <w:t>NonCommercial</w:t>
        </w:r>
        <w:proofErr w:type="spellEnd"/>
        <w:r w:rsidRPr="00421CEA">
          <w:rPr>
            <w:rFonts w:ascii="Garamond" w:hAnsi="Garamond"/>
            <w:color w:val="FB0056"/>
          </w:rPr>
          <w:t>-</w:t>
        </w:r>
        <w:proofErr w:type="spellStart"/>
        <w:r w:rsidRPr="00421CEA">
          <w:rPr>
            <w:rFonts w:ascii="Garamond" w:hAnsi="Garamond"/>
            <w:color w:val="FB0056"/>
          </w:rPr>
          <w:t>NoDerivs</w:t>
        </w:r>
        <w:proofErr w:type="spellEnd"/>
        <w:r w:rsidRPr="00421CEA">
          <w:rPr>
            <w:rFonts w:ascii="Garamond" w:hAnsi="Garamond"/>
            <w:color w:val="FB0056"/>
          </w:rPr>
          <w:t xml:space="preserve"> 3.0 </w:t>
        </w:r>
        <w:proofErr w:type="spellStart"/>
        <w:r w:rsidRPr="00421CEA">
          <w:rPr>
            <w:rFonts w:ascii="Garamond" w:hAnsi="Garamond"/>
            <w:color w:val="FB0056"/>
          </w:rPr>
          <w:t>Unported</w:t>
        </w:r>
        <w:proofErr w:type="spellEnd"/>
        <w:r w:rsidRPr="00421CEA">
          <w:rPr>
            <w:rFonts w:ascii="Garamond" w:hAnsi="Garamond"/>
            <w:color w:val="FB0056"/>
          </w:rPr>
          <w:t xml:space="preserve"> License</w:t>
        </w:r>
      </w:hyperlink>
    </w:p>
    <w:sdt>
      <w:sdtPr>
        <w:tag w:val="goog_rdk_58"/>
        <w:id w:val="-1930491231"/>
      </w:sdtPr>
      <w:sdtEndPr/>
      <w:sdtContent>
        <w:p w14:paraId="05AB956E" w14:textId="2F453FDD" w:rsidR="00BF443F" w:rsidRPr="00421CEA" w:rsidRDefault="00BF443F" w:rsidP="00BF3430">
          <w:pPr>
            <w:ind w:right="284"/>
            <w:jc w:val="center"/>
            <w:rPr>
              <w:rFonts w:ascii="Garamond" w:eastAsia="Garamond" w:hAnsi="Garamond" w:cs="Garamond"/>
            </w:rPr>
          </w:pPr>
          <w:r w:rsidRPr="00421CEA">
            <w:rPr>
              <w:rFonts w:ascii="Garamond" w:eastAsia="Garamond" w:hAnsi="Garamond" w:cs="Garamond"/>
            </w:rPr>
            <w:t xml:space="preserve">Giuliani, Gaia. </w:t>
          </w:r>
          <w:r w:rsidRPr="00421CEA">
            <w:rPr>
              <w:rFonts w:ascii="Garamond" w:eastAsia="Garamond" w:hAnsi="Garamond" w:cs="Garamond"/>
              <w:i/>
            </w:rPr>
            <w:t>Race, Nation and Gender in Modern Italy. Intersectional Representations in Visual Culture</w:t>
          </w:r>
          <w:r w:rsidRPr="00421CEA">
            <w:rPr>
              <w:rFonts w:ascii="Garamond" w:eastAsia="Garamond" w:hAnsi="Garamond" w:cs="Garamond"/>
            </w:rPr>
            <w:t>. London: Palgrave Macmillan, 2019. Pp. 299. ISBN 978-1-137-50915-4 and 978-1-137-50917-8.</w:t>
          </w:r>
        </w:p>
        <w:p w14:paraId="22904FC4" w14:textId="77777777" w:rsidR="00BF443F" w:rsidRPr="00421CEA" w:rsidRDefault="00BF443F" w:rsidP="00BF3430">
          <w:pPr>
            <w:ind w:right="284"/>
            <w:jc w:val="center"/>
            <w:rPr>
              <w:rFonts w:ascii="Garamond" w:eastAsia="Garamond" w:hAnsi="Garamond" w:cs="Garamond"/>
            </w:rPr>
          </w:pPr>
          <w:r w:rsidRPr="00421CEA">
            <w:rPr>
              <w:rFonts w:ascii="Garamond" w:eastAsia="Garamond" w:hAnsi="Garamond" w:cs="Garamond"/>
            </w:rPr>
            <w:t>€ 93.59/74.89 (hardcover/eBook).</w:t>
          </w:r>
        </w:p>
        <w:p w14:paraId="1550CB87" w14:textId="1964BBFE" w:rsidR="00BF443F" w:rsidRPr="00421CEA" w:rsidRDefault="00BF443F" w:rsidP="00BF443F">
          <w:pPr>
            <w:ind w:right="284"/>
            <w:rPr>
              <w:rFonts w:ascii="Garamond" w:eastAsia="Garamond" w:hAnsi="Garamond" w:cs="Garamond"/>
            </w:rPr>
          </w:pPr>
        </w:p>
        <w:p w14:paraId="579CABCB" w14:textId="76FDB333" w:rsidR="00BF443F" w:rsidRPr="006F7B15" w:rsidRDefault="00BF443F" w:rsidP="00BF443F">
          <w:pPr>
            <w:jc w:val="both"/>
            <w:rPr>
              <w:rFonts w:ascii="Garamond" w:eastAsia="Garamond" w:hAnsi="Garamond" w:cs="Garamond"/>
              <w:b/>
              <w:bCs/>
              <w:iCs/>
              <w:lang w:val="en-GB"/>
            </w:rPr>
          </w:pPr>
          <w:r w:rsidRPr="00421CEA">
            <w:rPr>
              <w:rFonts w:ascii="Garamond" w:eastAsia="Garamond" w:hAnsi="Garamond" w:cs="Garamond"/>
            </w:rPr>
            <w:t xml:space="preserve">Gaia Giuliani’s </w:t>
          </w:r>
          <w:r w:rsidRPr="00421CEA">
            <w:rPr>
              <w:rFonts w:ascii="Garamond" w:eastAsia="Garamond" w:hAnsi="Garamond" w:cs="Garamond"/>
              <w:i/>
            </w:rPr>
            <w:t xml:space="preserve">Race, Nation and Gender in Modern Italy. Intersectional Representations in Visual Culture </w:t>
          </w:r>
          <w:r w:rsidRPr="00421CEA">
            <w:rPr>
              <w:rFonts w:ascii="Garamond" w:eastAsia="Garamond" w:hAnsi="Garamond" w:cs="Garamond"/>
              <w:iCs/>
            </w:rPr>
            <w:t xml:space="preserve">is a powerful book addressing the construction and re-articulation of gendered and racialized representations of national identity in modern Italy. It </w:t>
          </w:r>
          <w:r w:rsidRPr="00421CEA">
            <w:rPr>
              <w:rFonts w:ascii="Garamond" w:eastAsia="Garamond" w:hAnsi="Garamond" w:cs="Garamond"/>
            </w:rPr>
            <w:t>positions itself in the wake of the recent turn that has occurred in Italian Studies, since the middle of the first decade of the two-thousands</w:t>
          </w:r>
          <w:r w:rsidR="00302A76">
            <w:rPr>
              <w:rFonts w:ascii="Garamond" w:eastAsia="Garamond" w:hAnsi="Garamond" w:cs="Garamond"/>
            </w:rPr>
            <w:t>.</w:t>
          </w:r>
          <w:r w:rsidRPr="00421CEA">
            <w:rPr>
              <w:rFonts w:ascii="Garamond" w:eastAsia="Garamond" w:hAnsi="Garamond" w:cs="Garamond"/>
            </w:rPr>
            <w:t xml:space="preserve"> </w:t>
          </w:r>
          <w:r w:rsidR="00302A76">
            <w:rPr>
              <w:rFonts w:ascii="Garamond" w:eastAsia="Garamond" w:hAnsi="Garamond" w:cs="Garamond"/>
            </w:rPr>
            <w:t xml:space="preserve">The main </w:t>
          </w:r>
          <w:r w:rsidRPr="00421CEA">
            <w:rPr>
              <w:rFonts w:ascii="Garamond" w:eastAsia="Garamond" w:hAnsi="Garamond" w:cs="Garamond"/>
            </w:rPr>
            <w:t>aim</w:t>
          </w:r>
          <w:r w:rsidR="00302A76">
            <w:rPr>
              <w:rFonts w:ascii="Garamond" w:eastAsia="Garamond" w:hAnsi="Garamond" w:cs="Garamond"/>
            </w:rPr>
            <w:t xml:space="preserve"> of this turn</w:t>
          </w:r>
          <w:r w:rsidRPr="00421CEA">
            <w:rPr>
              <w:rFonts w:ascii="Garamond" w:eastAsia="Garamond" w:hAnsi="Garamond" w:cs="Garamond"/>
            </w:rPr>
            <w:t xml:space="preserve"> is </w:t>
          </w:r>
          <w:r w:rsidR="00302A76">
            <w:rPr>
              <w:rFonts w:ascii="Garamond" w:eastAsia="Garamond" w:hAnsi="Garamond" w:cs="Garamond"/>
            </w:rPr>
            <w:t>an</w:t>
          </w:r>
          <w:r w:rsidRPr="00421CEA">
            <w:rPr>
              <w:rFonts w:ascii="Garamond" w:eastAsia="Garamond" w:hAnsi="Garamond" w:cs="Garamond"/>
            </w:rPr>
            <w:t xml:space="preserve"> explor</w:t>
          </w:r>
          <w:r w:rsidR="00302A76">
            <w:rPr>
              <w:rFonts w:ascii="Garamond" w:eastAsia="Garamond" w:hAnsi="Garamond" w:cs="Garamond"/>
            </w:rPr>
            <w:t>ation of</w:t>
          </w:r>
          <w:r w:rsidRPr="00421CEA">
            <w:rPr>
              <w:rFonts w:ascii="Garamond" w:eastAsia="Garamond" w:hAnsi="Garamond" w:cs="Garamond"/>
            </w:rPr>
            <w:t xml:space="preserve"> national belongings against the backdrop of transnational, postcolonial, and intersectional perspectives. </w:t>
          </w:r>
          <w:r w:rsidRPr="00421CEA">
            <w:rPr>
              <w:rFonts w:ascii="Garamond" w:eastAsia="Garamond" w:hAnsi="Garamond" w:cs="Garamond"/>
              <w:iCs/>
            </w:rPr>
            <w:t>The main purpose of the book is that of retracing the genealogy of</w:t>
          </w:r>
          <w:r w:rsidR="00302A76">
            <w:rPr>
              <w:rFonts w:ascii="Garamond" w:eastAsia="Garamond" w:hAnsi="Garamond" w:cs="Garamond"/>
              <w:iCs/>
            </w:rPr>
            <w:t xml:space="preserve"> racism in</w:t>
          </w:r>
          <w:r w:rsidRPr="00421CEA">
            <w:rPr>
              <w:rFonts w:ascii="Garamond" w:eastAsia="Garamond" w:hAnsi="Garamond" w:cs="Garamond"/>
              <w:iCs/>
            </w:rPr>
            <w:t xml:space="preserve"> Italy </w:t>
          </w:r>
          <w:r w:rsidR="00302A76">
            <w:rPr>
              <w:rFonts w:ascii="Garamond" w:eastAsia="Garamond" w:hAnsi="Garamond" w:cs="Garamond"/>
              <w:iCs/>
            </w:rPr>
            <w:t>today</w:t>
          </w:r>
          <w:r w:rsidRPr="00421CEA">
            <w:rPr>
              <w:rFonts w:ascii="Garamond" w:eastAsia="Garamond" w:hAnsi="Garamond" w:cs="Garamond"/>
              <w:iCs/>
            </w:rPr>
            <w:t xml:space="preserve"> by focusing on the unceasing re-articulation of the colonial archive. Drawing mainly on </w:t>
          </w:r>
          <w:r w:rsidR="009867A2">
            <w:rPr>
              <w:rFonts w:ascii="Garamond" w:eastAsia="Garamond" w:hAnsi="Garamond" w:cs="Garamond"/>
              <w:iCs/>
            </w:rPr>
            <w:t xml:space="preserve">Ann </w:t>
          </w:r>
          <w:r w:rsidRPr="00421CEA">
            <w:rPr>
              <w:rFonts w:ascii="Garamond" w:eastAsia="Garamond" w:hAnsi="Garamond" w:cs="Garamond"/>
              <w:iCs/>
            </w:rPr>
            <w:t xml:space="preserve">Stoler’s pivotal definition, this archive is constituted by the set of practices and discourses </w:t>
          </w:r>
          <w:r w:rsidRPr="00421CEA">
            <w:rPr>
              <w:rFonts w:ascii="Garamond" w:eastAsia="Garamond" w:hAnsi="Garamond" w:cs="Garamond"/>
              <w:iCs/>
            </w:rPr>
            <w:softHyphen/>
          </w:r>
          <w:r w:rsidRPr="00421CEA">
            <w:rPr>
              <w:rFonts w:ascii="Garamond" w:eastAsia="Garamond" w:hAnsi="Garamond" w:cs="Garamond"/>
              <w:iCs/>
            </w:rPr>
            <w:softHyphen/>
            <w:t xml:space="preserve">— or, in Giuliani’s words, </w:t>
          </w:r>
          <w:r w:rsidRPr="00421CEA">
            <w:rPr>
              <w:rFonts w:ascii="Garamond" w:eastAsia="Garamond" w:hAnsi="Garamond" w:cs="Garamond"/>
              <w:i/>
            </w:rPr>
            <w:t>figures of race</w:t>
          </w:r>
          <w:r w:rsidRPr="00421CEA">
            <w:rPr>
              <w:rFonts w:ascii="Garamond" w:eastAsia="Garamond" w:hAnsi="Garamond" w:cs="Garamond"/>
              <w:iCs/>
            </w:rPr>
            <w:t xml:space="preserve"> (</w:t>
          </w:r>
          <w:r w:rsidR="00421CEA" w:rsidRPr="00421CEA">
            <w:rPr>
              <w:rFonts w:ascii="Garamond" w:eastAsia="Garamond" w:hAnsi="Garamond" w:cs="Garamond"/>
              <w:iCs/>
            </w:rPr>
            <w:t xml:space="preserve">p. </w:t>
          </w:r>
          <w:r w:rsidRPr="00421CEA">
            <w:rPr>
              <w:rFonts w:ascii="Garamond" w:eastAsia="Garamond" w:hAnsi="Garamond" w:cs="Garamond"/>
              <w:iCs/>
            </w:rPr>
            <w:t>5) — enabling the interpretation of societies,</w:t>
          </w:r>
          <w:r w:rsidR="00302A76">
            <w:rPr>
              <w:rFonts w:ascii="Garamond" w:eastAsia="Garamond" w:hAnsi="Garamond" w:cs="Garamond"/>
              <w:iCs/>
            </w:rPr>
            <w:t xml:space="preserve"> </w:t>
          </w:r>
          <w:r w:rsidRPr="00421CEA">
            <w:rPr>
              <w:rFonts w:ascii="Garamond" w:eastAsia="Garamond" w:hAnsi="Garamond" w:cs="Garamond"/>
              <w:iCs/>
            </w:rPr>
            <w:t>representations</w:t>
          </w:r>
          <w:r w:rsidR="00302A76">
            <w:rPr>
              <w:rFonts w:ascii="Garamond" w:eastAsia="Garamond" w:hAnsi="Garamond" w:cs="Garamond"/>
              <w:iCs/>
            </w:rPr>
            <w:t xml:space="preserve"> and events from</w:t>
          </w:r>
          <w:r w:rsidR="00302A76">
            <w:rPr>
              <w:rStyle w:val="CommentReference"/>
            </w:rPr>
            <w:t xml:space="preserve"> </w:t>
          </w:r>
          <w:r w:rsidRPr="00421CEA">
            <w:rPr>
              <w:rFonts w:ascii="Garamond" w:eastAsia="Garamond" w:hAnsi="Garamond" w:cs="Garamond"/>
              <w:iCs/>
            </w:rPr>
            <w:t xml:space="preserve">a racialized perspective. Such a </w:t>
          </w:r>
          <w:r w:rsidR="00421CEA" w:rsidRPr="00421CEA">
            <w:rPr>
              <w:rFonts w:ascii="Garamond" w:eastAsia="Garamond" w:hAnsi="Garamond" w:cs="Garamond"/>
              <w:iCs/>
            </w:rPr>
            <w:t>vantage point</w:t>
          </w:r>
          <w:r w:rsidRPr="00421CEA">
            <w:rPr>
              <w:rFonts w:ascii="Garamond" w:eastAsia="Garamond" w:hAnsi="Garamond" w:cs="Garamond"/>
              <w:iCs/>
            </w:rPr>
            <w:t xml:space="preserve"> reveals the extent to which racialized bodies have been made either invisible, by silently reproducing the white/racial hegemonic gaze, or hypervisible, when they are represented as dangerous, “monstrous” and, following</w:t>
          </w:r>
          <w:r w:rsidR="00302A76">
            <w:rPr>
              <w:rFonts w:ascii="Garamond" w:eastAsia="Garamond" w:hAnsi="Garamond" w:cs="Garamond"/>
              <w:iCs/>
            </w:rPr>
            <w:t xml:space="preserve"> Nirmal</w:t>
          </w:r>
          <w:r w:rsidRPr="00421CEA">
            <w:rPr>
              <w:rFonts w:ascii="Garamond" w:eastAsia="Garamond" w:hAnsi="Garamond" w:cs="Garamond"/>
              <w:iCs/>
            </w:rPr>
            <w:t xml:space="preserve"> </w:t>
          </w:r>
          <w:proofErr w:type="spellStart"/>
          <w:r w:rsidRPr="00421CEA">
            <w:rPr>
              <w:rFonts w:ascii="Garamond" w:eastAsia="Garamond" w:hAnsi="Garamond" w:cs="Garamond"/>
              <w:iCs/>
            </w:rPr>
            <w:t>Puwar</w:t>
          </w:r>
          <w:proofErr w:type="spellEnd"/>
          <w:r w:rsidRPr="00421CEA">
            <w:rPr>
              <w:rFonts w:ascii="Garamond" w:eastAsia="Garamond" w:hAnsi="Garamond" w:cs="Garamond"/>
              <w:iCs/>
            </w:rPr>
            <w:t>, as “space invaders</w:t>
          </w:r>
          <w:r w:rsidR="00421CEA" w:rsidRPr="00421CEA">
            <w:rPr>
              <w:rFonts w:ascii="Garamond" w:eastAsia="Garamond" w:hAnsi="Garamond" w:cs="Garamond"/>
              <w:iCs/>
            </w:rPr>
            <w:t>.</w:t>
          </w:r>
          <w:r w:rsidRPr="00421CEA">
            <w:rPr>
              <w:rFonts w:ascii="Garamond" w:eastAsia="Garamond" w:hAnsi="Garamond" w:cs="Garamond"/>
              <w:iCs/>
            </w:rPr>
            <w:t xml:space="preserve">” In fact, the analysis of the protean combination between </w:t>
          </w:r>
          <w:proofErr w:type="spellStart"/>
          <w:r w:rsidRPr="00421CEA">
            <w:rPr>
              <w:rFonts w:ascii="Garamond" w:eastAsia="Garamond" w:hAnsi="Garamond" w:cs="Garamond"/>
              <w:i/>
              <w:iCs/>
            </w:rPr>
            <w:t>invisibilization</w:t>
          </w:r>
          <w:proofErr w:type="spellEnd"/>
          <w:r w:rsidRPr="00421CEA">
            <w:rPr>
              <w:rFonts w:ascii="Garamond" w:eastAsia="Garamond" w:hAnsi="Garamond" w:cs="Garamond"/>
              <w:iCs/>
            </w:rPr>
            <w:t xml:space="preserve"> and </w:t>
          </w:r>
          <w:proofErr w:type="spellStart"/>
          <w:r w:rsidRPr="00421CEA">
            <w:rPr>
              <w:rFonts w:ascii="Garamond" w:eastAsia="Garamond" w:hAnsi="Garamond" w:cs="Garamond"/>
              <w:i/>
              <w:iCs/>
            </w:rPr>
            <w:t>hypervisibilization</w:t>
          </w:r>
          <w:proofErr w:type="spellEnd"/>
          <w:r w:rsidRPr="00421CEA">
            <w:rPr>
              <w:rFonts w:ascii="Garamond" w:eastAsia="Garamond" w:hAnsi="Garamond" w:cs="Garamond"/>
              <w:i/>
              <w:iCs/>
            </w:rPr>
            <w:t xml:space="preserve"> </w:t>
          </w:r>
          <w:r w:rsidRPr="00421CEA">
            <w:rPr>
              <w:rFonts w:ascii="Garamond" w:eastAsia="Garamond" w:hAnsi="Garamond" w:cs="Garamond"/>
              <w:iCs/>
            </w:rPr>
            <w:t xml:space="preserve">is the </w:t>
          </w:r>
          <w:r w:rsidRPr="00421CEA">
            <w:rPr>
              <w:rFonts w:ascii="Garamond" w:eastAsia="Garamond" w:hAnsi="Garamond" w:cs="Garamond"/>
            </w:rPr>
            <w:t>focal point</w:t>
          </w:r>
          <w:r w:rsidRPr="00421CEA">
            <w:rPr>
              <w:rFonts w:ascii="Garamond" w:eastAsia="Garamond" w:hAnsi="Garamond" w:cs="Garamond"/>
              <w:i/>
              <w:iCs/>
            </w:rPr>
            <w:t xml:space="preserve"> </w:t>
          </w:r>
          <w:r w:rsidRPr="00421CEA">
            <w:rPr>
              <w:rFonts w:ascii="Garamond" w:eastAsia="Garamond" w:hAnsi="Garamond" w:cs="Garamond"/>
              <w:iCs/>
            </w:rPr>
            <w:t>around which each chapter, and the book as a whole, revolves.</w:t>
          </w:r>
          <w:r w:rsidRPr="006F7B15">
            <w:rPr>
              <w:rFonts w:ascii="Garamond" w:eastAsia="Garamond" w:hAnsi="Garamond" w:cs="Garamond"/>
              <w:iCs/>
            </w:rPr>
            <w:t xml:space="preserve"> </w:t>
          </w:r>
          <w:r w:rsidR="006F7B15" w:rsidRPr="006F7B15">
            <w:rPr>
              <w:rFonts w:ascii="Garamond" w:eastAsia="Garamond" w:hAnsi="Garamond" w:cs="Garamond"/>
              <w:iCs/>
            </w:rPr>
            <w:t>This ambitious research endeavor aims to build up a composite framework to read diverse visual discourses through the lens of unproblematized colonial and racial legacies</w:t>
          </w:r>
          <w:r w:rsidRPr="006F7B15">
            <w:rPr>
              <w:rFonts w:ascii="Garamond" w:eastAsia="Garamond" w:hAnsi="Garamond" w:cs="Garamond"/>
              <w:iCs/>
            </w:rPr>
            <w:t>. In so doing, the book effectively points out the persistence of racializing practices in the construction</w:t>
          </w:r>
          <w:r w:rsidRPr="00421CEA">
            <w:rPr>
              <w:rFonts w:ascii="Garamond" w:eastAsia="Garamond" w:hAnsi="Garamond" w:cs="Garamond"/>
              <w:iCs/>
            </w:rPr>
            <w:t xml:space="preserve"> of </w:t>
          </w:r>
          <w:r w:rsidR="00302A76">
            <w:rPr>
              <w:rFonts w:ascii="Garamond" w:eastAsia="Garamond" w:hAnsi="Garamond" w:cs="Garamond"/>
              <w:iCs/>
            </w:rPr>
            <w:t>Italian identity.</w:t>
          </w:r>
        </w:p>
        <w:p w14:paraId="30777BF7" w14:textId="4A329BAA" w:rsidR="00BF443F" w:rsidRPr="00421CEA" w:rsidRDefault="00BF443F" w:rsidP="00BF443F">
          <w:pPr>
            <w:jc w:val="both"/>
            <w:rPr>
              <w:rFonts w:ascii="Garamond" w:eastAsia="Garamond" w:hAnsi="Garamond" w:cs="Garamond"/>
              <w:iCs/>
            </w:rPr>
          </w:pPr>
          <w:r w:rsidRPr="00421CEA">
            <w:rPr>
              <w:rFonts w:ascii="Garamond" w:eastAsia="Garamond" w:hAnsi="Garamond" w:cs="Garamond"/>
              <w:iCs/>
            </w:rPr>
            <w:tab/>
          </w:r>
          <w:r w:rsidRPr="00421CEA">
            <w:rPr>
              <w:rFonts w:ascii="Garamond" w:eastAsia="Garamond" w:hAnsi="Garamond" w:cs="Garamond"/>
              <w:i/>
            </w:rPr>
            <w:t>Race, Nation and Gender in Modern Italy</w:t>
          </w:r>
          <w:r w:rsidRPr="00421CEA">
            <w:rPr>
              <w:rFonts w:ascii="Garamond" w:eastAsia="Garamond" w:hAnsi="Garamond" w:cs="Garamond"/>
              <w:iCs/>
            </w:rPr>
            <w:t xml:space="preserve"> is organized diachronically, in that it addresses Liberal and Fascist Italy (part 1, chapter 2 and 3), the decades from post-war reconstruction to the seventies (part 2, chapter 4 and 5), and the more recent configuration of Italian society and culture since the eighties (part 3, chapter 6 and 7). Each part features an introduction and two chapters covering a broad range of issues and debates. These discourses and case studies are introduced comprehensively in the first chapter, which provides the critical toolbox for the methodologies that will be used throughout the book. Three are the core-critical themes featured in </w:t>
          </w:r>
          <w:r w:rsidR="006F7B15">
            <w:rPr>
              <w:rFonts w:ascii="Garamond" w:eastAsia="Garamond" w:hAnsi="Garamond" w:cs="Garamond"/>
              <w:iCs/>
            </w:rPr>
            <w:t>the first chapter</w:t>
          </w:r>
          <w:r w:rsidRPr="00421CEA">
            <w:rPr>
              <w:rFonts w:ascii="Garamond" w:eastAsia="Garamond" w:hAnsi="Garamond" w:cs="Garamond"/>
              <w:iCs/>
            </w:rPr>
            <w:t>:</w:t>
          </w:r>
          <w:r w:rsidR="006F7B15">
            <w:rPr>
              <w:rFonts w:ascii="Garamond" w:eastAsia="Garamond" w:hAnsi="Garamond" w:cs="Garamond"/>
              <w:iCs/>
            </w:rPr>
            <w:t xml:space="preserve"> 1)</w:t>
          </w:r>
          <w:r w:rsidRPr="00421CEA">
            <w:rPr>
              <w:rFonts w:ascii="Garamond" w:eastAsia="Garamond" w:hAnsi="Garamond" w:cs="Garamond"/>
              <w:iCs/>
            </w:rPr>
            <w:t xml:space="preserve"> the colonial archive and the re-articulation of its discursive logic beyond the c</w:t>
          </w:r>
          <w:r w:rsidR="00421CEA" w:rsidRPr="00421CEA">
            <w:rPr>
              <w:rFonts w:ascii="Garamond" w:eastAsia="Garamond" w:hAnsi="Garamond" w:cs="Garamond"/>
              <w:iCs/>
            </w:rPr>
            <w:t>olonial period</w:t>
          </w:r>
          <w:r w:rsidR="006F7B15">
            <w:rPr>
              <w:rFonts w:ascii="Garamond" w:eastAsia="Garamond" w:hAnsi="Garamond" w:cs="Garamond"/>
              <w:iCs/>
            </w:rPr>
            <w:t>; 2)</w:t>
          </w:r>
          <w:r w:rsidR="00421CEA" w:rsidRPr="00421CEA">
            <w:rPr>
              <w:rFonts w:ascii="Garamond" w:eastAsia="Garamond" w:hAnsi="Garamond" w:cs="Garamond"/>
              <w:iCs/>
            </w:rPr>
            <w:t xml:space="preserve"> the concept of “race”</w:t>
          </w:r>
          <w:r w:rsidRPr="00421CEA">
            <w:rPr>
              <w:rFonts w:ascii="Garamond" w:eastAsia="Garamond" w:hAnsi="Garamond" w:cs="Garamond"/>
              <w:iCs/>
            </w:rPr>
            <w:t xml:space="preserve"> as a social and discursive construction whose meaning changes over time;</w:t>
          </w:r>
          <w:r w:rsidR="006F7B15">
            <w:rPr>
              <w:rFonts w:ascii="Garamond" w:eastAsia="Garamond" w:hAnsi="Garamond" w:cs="Garamond"/>
              <w:iCs/>
            </w:rPr>
            <w:t xml:space="preserve"> 3)</w:t>
          </w:r>
          <w:r w:rsidRPr="00421CEA">
            <w:rPr>
              <w:rFonts w:ascii="Garamond" w:eastAsia="Garamond" w:hAnsi="Garamond" w:cs="Garamond"/>
              <w:iCs/>
            </w:rPr>
            <w:t xml:space="preserve"> the logic of the</w:t>
          </w:r>
          <w:r w:rsidR="00421CEA" w:rsidRPr="00421CEA">
            <w:rPr>
              <w:rFonts w:ascii="Garamond" w:eastAsia="Garamond" w:hAnsi="Garamond" w:cs="Garamond"/>
              <w:iCs/>
            </w:rPr>
            <w:t xml:space="preserve"> “encampment</w:t>
          </w:r>
          <w:r w:rsidRPr="00421CEA">
            <w:rPr>
              <w:rFonts w:ascii="Garamond" w:eastAsia="Garamond" w:hAnsi="Garamond" w:cs="Garamond"/>
              <w:iCs/>
            </w:rPr>
            <w:t>,</w:t>
          </w:r>
          <w:r w:rsidR="00421CEA" w:rsidRPr="00421CEA">
            <w:rPr>
              <w:rFonts w:ascii="Garamond" w:eastAsia="Garamond" w:hAnsi="Garamond" w:cs="Garamond"/>
              <w:iCs/>
            </w:rPr>
            <w:t>”</w:t>
          </w:r>
          <w:r w:rsidRPr="00421CEA">
            <w:rPr>
              <w:rFonts w:ascii="Garamond" w:eastAsia="Garamond" w:hAnsi="Garamond" w:cs="Garamond"/>
              <w:iCs/>
            </w:rPr>
            <w:t xml:space="preserve"> according to which the “setting of national borders goes hand in hand with defining a nation’s culture and traditions as well as gender, class, race, and rulers/ruled relations” (</w:t>
          </w:r>
          <w:r w:rsidR="00421CEA" w:rsidRPr="00421CEA">
            <w:rPr>
              <w:rFonts w:ascii="Garamond" w:eastAsia="Garamond" w:hAnsi="Garamond" w:cs="Garamond"/>
              <w:iCs/>
            </w:rPr>
            <w:t xml:space="preserve">p. </w:t>
          </w:r>
          <w:r w:rsidRPr="00421CEA">
            <w:rPr>
              <w:rFonts w:ascii="Garamond" w:eastAsia="Garamond" w:hAnsi="Garamond" w:cs="Garamond"/>
              <w:iCs/>
            </w:rPr>
            <w:t>32). These three concepts are welded together in the analysis of the hetero-referential processes of racialization, which are constructed ‘by contrast’ in relation to the representations of southern/colonial/postcolonial Otherness (mainly chapter 2, 4, 5, 6). On the other hand, Giuliani explores also self-referential processes, that is, the discourses claiming Italians’ white, racial specificity, which were particularly evident after the declaration of the Fascist empire in</w:t>
          </w:r>
          <w:r w:rsidR="009867A2">
            <w:rPr>
              <w:rFonts w:ascii="Garamond" w:eastAsia="Garamond" w:hAnsi="Garamond" w:cs="Garamond"/>
              <w:iCs/>
            </w:rPr>
            <w:t xml:space="preserve"> May</w:t>
          </w:r>
          <w:r w:rsidRPr="00421CEA">
            <w:rPr>
              <w:rFonts w:ascii="Garamond" w:eastAsia="Garamond" w:hAnsi="Garamond" w:cs="Garamond"/>
              <w:iCs/>
            </w:rPr>
            <w:t xml:space="preserve"> 1936 (chapter 3). </w:t>
          </w:r>
        </w:p>
        <w:p w14:paraId="72DB77D0" w14:textId="41EFD51A" w:rsidR="00BF443F" w:rsidRPr="00421CEA" w:rsidRDefault="00BF443F" w:rsidP="00BF443F">
          <w:pPr>
            <w:ind w:firstLine="720"/>
            <w:jc w:val="both"/>
            <w:rPr>
              <w:rFonts w:ascii="Garamond" w:eastAsia="Garamond" w:hAnsi="Garamond" w:cs="Garamond"/>
              <w:iCs/>
            </w:rPr>
          </w:pPr>
          <w:r w:rsidRPr="00421CEA">
            <w:rPr>
              <w:rFonts w:ascii="Garamond" w:eastAsia="Garamond" w:hAnsi="Garamond" w:cs="Garamond"/>
              <w:iCs/>
            </w:rPr>
            <w:t xml:space="preserve">Chapter 2 offers a well-substantiated overview of the debates about race in the late nineteenth and early twentieth centuries, by highlighting their instrumentality in the nation-building process, while chapter 3 focuses on the construction of whiteness during the fascist empire in East Africa. </w:t>
          </w:r>
          <w:r w:rsidR="006F7B15">
            <w:rPr>
              <w:rFonts w:ascii="Garamond" w:eastAsia="Garamond" w:hAnsi="Garamond" w:cs="Garamond"/>
              <w:iCs/>
            </w:rPr>
            <w:t>N</w:t>
          </w:r>
          <w:r w:rsidRPr="00421CEA">
            <w:rPr>
              <w:rFonts w:ascii="Garamond" w:eastAsia="Garamond" w:hAnsi="Garamond" w:cs="Garamond"/>
              <w:iCs/>
            </w:rPr>
            <w:t xml:space="preserve">oteworthy is the author’s effort </w:t>
          </w:r>
          <w:r w:rsidR="006F7B15">
            <w:rPr>
              <w:rFonts w:ascii="Garamond" w:eastAsia="Garamond" w:hAnsi="Garamond" w:cs="Garamond"/>
              <w:iCs/>
            </w:rPr>
            <w:t>to</w:t>
          </w:r>
          <w:r w:rsidRPr="00421CEA">
            <w:rPr>
              <w:rFonts w:ascii="Garamond" w:eastAsia="Garamond" w:hAnsi="Garamond" w:cs="Garamond"/>
              <w:iCs/>
            </w:rPr>
            <w:t xml:space="preserve"> manag</w:t>
          </w:r>
          <w:r w:rsidR="006F7B15">
            <w:rPr>
              <w:rFonts w:ascii="Garamond" w:eastAsia="Garamond" w:hAnsi="Garamond" w:cs="Garamond"/>
              <w:iCs/>
            </w:rPr>
            <w:t>e</w:t>
          </w:r>
          <w:r w:rsidRPr="00421CEA">
            <w:rPr>
              <w:rFonts w:ascii="Garamond" w:eastAsia="Garamond" w:hAnsi="Garamond" w:cs="Garamond"/>
              <w:iCs/>
            </w:rPr>
            <w:t xml:space="preserve"> a vast array of secondary sources: part 1 (chapter 2 and 3) embraces a time-span and topics that have been extensively addressed by previous scholarship like the Southern Question and its connection with nation-building, migrations, and early-colonialism; racial and biopolitical discourses during Liberal and Fascist periods. Therefore, the </w:t>
          </w:r>
          <w:r w:rsidRPr="00421CEA">
            <w:rPr>
              <w:rFonts w:ascii="Garamond" w:eastAsia="Garamond" w:hAnsi="Garamond" w:cs="Garamond"/>
              <w:iCs/>
            </w:rPr>
            <w:lastRenderedPageBreak/>
            <w:t xml:space="preserve">merit of these chapters </w:t>
          </w:r>
          <w:r w:rsidR="006F7B15">
            <w:rPr>
              <w:rFonts w:ascii="Garamond" w:eastAsia="Garamond" w:hAnsi="Garamond" w:cs="Garamond"/>
              <w:iCs/>
            </w:rPr>
            <w:t>is t</w:t>
          </w:r>
          <w:r w:rsidRPr="00421CEA">
            <w:rPr>
              <w:rFonts w:ascii="Garamond" w:eastAsia="Garamond" w:hAnsi="Garamond" w:cs="Garamond"/>
              <w:iCs/>
            </w:rPr>
            <w:t xml:space="preserve">hat to </w:t>
          </w:r>
          <w:r w:rsidR="006F7B15">
            <w:rPr>
              <w:rFonts w:ascii="Garamond" w:eastAsia="Garamond" w:hAnsi="Garamond" w:cs="Garamond"/>
              <w:iCs/>
            </w:rPr>
            <w:t>combine</w:t>
          </w:r>
          <w:r w:rsidRPr="00421CEA">
            <w:rPr>
              <w:rFonts w:ascii="Garamond" w:eastAsia="Garamond" w:hAnsi="Garamond" w:cs="Garamond"/>
              <w:iCs/>
            </w:rPr>
            <w:t xml:space="preserve"> those diverse contributions within an intersectional framework. </w:t>
          </w:r>
        </w:p>
        <w:p w14:paraId="68905288" w14:textId="1CDBCA54" w:rsidR="00BF443F" w:rsidRPr="00421CEA" w:rsidRDefault="00BF443F" w:rsidP="00BF443F">
          <w:pPr>
            <w:ind w:firstLine="720"/>
            <w:jc w:val="both"/>
            <w:rPr>
              <w:rFonts w:ascii="Garamond" w:eastAsia="Garamond" w:hAnsi="Garamond" w:cs="Garamond"/>
              <w:iCs/>
            </w:rPr>
          </w:pPr>
          <w:r w:rsidRPr="00421CEA">
            <w:rPr>
              <w:rFonts w:ascii="Garamond" w:eastAsia="Garamond" w:hAnsi="Garamond" w:cs="Garamond"/>
              <w:iCs/>
            </w:rPr>
            <w:t>Part 2 proposes an examination of the re-articulation of the colonial archive in the aftermath of WWII and</w:t>
          </w:r>
          <w:r w:rsidR="006F7B15">
            <w:rPr>
              <w:rFonts w:ascii="Garamond" w:eastAsia="Garamond" w:hAnsi="Garamond" w:cs="Garamond"/>
              <w:iCs/>
            </w:rPr>
            <w:t xml:space="preserve"> up</w:t>
          </w:r>
          <w:r w:rsidRPr="00421CEA">
            <w:rPr>
              <w:rFonts w:ascii="Garamond" w:eastAsia="Garamond" w:hAnsi="Garamond" w:cs="Garamond"/>
              <w:iCs/>
            </w:rPr>
            <w:t xml:space="preserve"> </w:t>
          </w:r>
          <w:r w:rsidR="009867A2">
            <w:rPr>
              <w:rFonts w:ascii="Garamond" w:eastAsia="Garamond" w:hAnsi="Garamond" w:cs="Garamond"/>
              <w:iCs/>
            </w:rPr>
            <w:t>through</w:t>
          </w:r>
          <w:r w:rsidRPr="00421CEA">
            <w:rPr>
              <w:rFonts w:ascii="Garamond" w:eastAsia="Garamond" w:hAnsi="Garamond" w:cs="Garamond"/>
              <w:iCs/>
            </w:rPr>
            <w:t xml:space="preserve"> the seventies. In these years, the construction of Italy’s racial identity shifted from a “linguistically explicit, racist political discourse that permeated the public sphere to an ever expanding, albeit more nuanced, expression of racist perceptions, ideas, and identity constructions in the country’s hegemonic culture” (</w:t>
          </w:r>
          <w:r w:rsidR="00421CEA" w:rsidRPr="00421CEA">
            <w:rPr>
              <w:rFonts w:ascii="Garamond" w:eastAsia="Garamond" w:hAnsi="Garamond" w:cs="Garamond"/>
              <w:iCs/>
            </w:rPr>
            <w:t xml:space="preserve">p. </w:t>
          </w:r>
          <w:r w:rsidRPr="00421CEA">
            <w:rPr>
              <w:rFonts w:ascii="Garamond" w:eastAsia="Garamond" w:hAnsi="Garamond" w:cs="Garamond"/>
              <w:iCs/>
            </w:rPr>
            <w:t xml:space="preserve">111). Both chapters 4 and 5 might be seen as the conceptual synthesis of the theoretical reflections </w:t>
          </w:r>
          <w:r w:rsidR="006F7B15">
            <w:rPr>
              <w:rFonts w:ascii="Garamond" w:eastAsia="Garamond" w:hAnsi="Garamond" w:cs="Garamond"/>
              <w:iCs/>
            </w:rPr>
            <w:t>unfolding</w:t>
          </w:r>
          <w:r w:rsidRPr="00421CEA">
            <w:rPr>
              <w:rFonts w:ascii="Garamond" w:eastAsia="Garamond" w:hAnsi="Garamond" w:cs="Garamond"/>
              <w:iCs/>
            </w:rPr>
            <w:t xml:space="preserve"> in the book, insofar as they focus on the ambiguous modalities through which documentary films (chapter 4) and erotic movies of the mid-seventies (chapter 5) have adapted the colonial archive and the figures of race in post-colonial and post-fascist contexts. Extremely insightful is the enquiry </w:t>
          </w:r>
          <w:r w:rsidR="0074400E">
            <w:rPr>
              <w:rFonts w:ascii="Garamond" w:eastAsia="Garamond" w:hAnsi="Garamond" w:cs="Garamond"/>
              <w:iCs/>
            </w:rPr>
            <w:t>into</w:t>
          </w:r>
          <w:r w:rsidRPr="00421CEA">
            <w:rPr>
              <w:rFonts w:ascii="Garamond" w:eastAsia="Garamond" w:hAnsi="Garamond" w:cs="Garamond"/>
              <w:iCs/>
            </w:rPr>
            <w:t xml:space="preserve"> the documentaries produced by directors like Pasolini and Rossellini, whose interest in postcolonial processes around the world did not bring them to criticize Italy’s </w:t>
          </w:r>
          <w:r w:rsidRPr="00421CEA">
            <w:rPr>
              <w:rFonts w:ascii="Garamond" w:eastAsia="Garamond" w:hAnsi="Garamond" w:cs="Garamond"/>
              <w:i/>
            </w:rPr>
            <w:t>own</w:t>
          </w:r>
          <w:r w:rsidRPr="00421CEA">
            <w:rPr>
              <w:rFonts w:ascii="Garamond" w:eastAsia="Garamond" w:hAnsi="Garamond" w:cs="Garamond"/>
              <w:iCs/>
            </w:rPr>
            <w:t xml:space="preserve"> colonial past. In this context, the analysis of the interplay between voice-over — usually offering a white/male/hegemonic perspective — and images is especially convincing (</w:t>
          </w:r>
          <w:r w:rsidR="00421CEA" w:rsidRPr="00421CEA">
            <w:rPr>
              <w:rFonts w:ascii="Garamond" w:eastAsia="Garamond" w:hAnsi="Garamond" w:cs="Garamond"/>
              <w:iCs/>
            </w:rPr>
            <w:t xml:space="preserve">p. </w:t>
          </w:r>
          <w:r w:rsidRPr="00421CEA">
            <w:rPr>
              <w:rFonts w:ascii="Garamond" w:eastAsia="Garamond" w:hAnsi="Garamond" w:cs="Garamond"/>
              <w:iCs/>
            </w:rPr>
            <w:t xml:space="preserve">141). Chapter 5 expands </w:t>
          </w:r>
          <w:r w:rsidR="00421CEA" w:rsidRPr="00421CEA">
            <w:rPr>
              <w:rFonts w:ascii="Garamond" w:eastAsia="Garamond" w:hAnsi="Garamond" w:cs="Garamond"/>
              <w:iCs/>
            </w:rPr>
            <w:t xml:space="preserve">on </w:t>
          </w:r>
          <w:r w:rsidRPr="00421CEA">
            <w:rPr>
              <w:rFonts w:ascii="Garamond" w:eastAsia="Garamond" w:hAnsi="Garamond" w:cs="Garamond"/>
              <w:iCs/>
            </w:rPr>
            <w:t>chapter 4’s results to tackle the attempt to reframe a white “hegemonic culture in its global (tourist, capitalist, and sexually emancipated) dimension” (</w:t>
          </w:r>
          <w:r w:rsidR="00421CEA" w:rsidRPr="00421CEA">
            <w:rPr>
              <w:rFonts w:ascii="Garamond" w:eastAsia="Garamond" w:hAnsi="Garamond" w:cs="Garamond"/>
              <w:iCs/>
            </w:rPr>
            <w:t xml:space="preserve">p. </w:t>
          </w:r>
          <w:r w:rsidRPr="00421CEA">
            <w:rPr>
              <w:rFonts w:ascii="Garamond" w:eastAsia="Garamond" w:hAnsi="Garamond" w:cs="Garamond"/>
              <w:iCs/>
            </w:rPr>
            <w:t xml:space="preserve">168) as it surfaced in completely different films, namely erotic and soft-porn production which had a </w:t>
          </w:r>
          <w:r w:rsidR="007D44EE">
            <w:rPr>
              <w:rFonts w:ascii="Garamond" w:eastAsia="Garamond" w:hAnsi="Garamond" w:cs="Garamond"/>
              <w:iCs/>
            </w:rPr>
            <w:t>not negligible</w:t>
          </w:r>
          <w:r w:rsidRPr="00421CEA">
            <w:rPr>
              <w:rFonts w:ascii="Garamond" w:eastAsia="Garamond" w:hAnsi="Garamond" w:cs="Garamond"/>
              <w:iCs/>
            </w:rPr>
            <w:t xml:space="preserve"> diffusion in the mid-seventies.</w:t>
          </w:r>
        </w:p>
        <w:p w14:paraId="03BB21DF" w14:textId="40015730" w:rsidR="00BF443F" w:rsidRPr="00421CEA" w:rsidRDefault="00BF443F" w:rsidP="00BF443F">
          <w:pPr>
            <w:ind w:firstLine="720"/>
            <w:jc w:val="both"/>
            <w:rPr>
              <w:rFonts w:ascii="Garamond" w:eastAsia="Garamond" w:hAnsi="Garamond" w:cs="Garamond"/>
              <w:iCs/>
            </w:rPr>
          </w:pPr>
          <w:r w:rsidRPr="00421CEA">
            <w:rPr>
              <w:rFonts w:ascii="Garamond" w:eastAsia="Garamond" w:hAnsi="Garamond" w:cs="Garamond"/>
              <w:iCs/>
            </w:rPr>
            <w:t>The last part of the book, comprising chapter 6 (about TV shows and commercials of mid-eighties), chapter 7 (about travel TV shows and songs by second-generation migrants of the mid-two-thousands) and the concluding chapter, are concerned with the contemporary configuration of racial issues. Chapter 6 and 7 maintain a substantial continuity with previous chapters insofar as they address TV commercials, TV shows, and songs as sites in which racial patterns are made either hypervisible or invisible in order to strengthen the borders of national belonging (</w:t>
          </w:r>
          <w:r w:rsidR="00421CEA" w:rsidRPr="00421CEA">
            <w:rPr>
              <w:rFonts w:ascii="Garamond" w:eastAsia="Garamond" w:hAnsi="Garamond" w:cs="Garamond"/>
              <w:iCs/>
            </w:rPr>
            <w:t xml:space="preserve">p. </w:t>
          </w:r>
          <w:r w:rsidRPr="00421CEA">
            <w:rPr>
              <w:rFonts w:ascii="Garamond" w:eastAsia="Garamond" w:hAnsi="Garamond" w:cs="Garamond"/>
              <w:iCs/>
            </w:rPr>
            <w:t>173). However, what is significantly original in these chapters is the attempt to highlight micro-practices of subversion toward hegemonic discourses, as in the case of the songs by Cécile and Bello Figo (</w:t>
          </w:r>
          <w:r w:rsidR="00421CEA" w:rsidRPr="00421CEA">
            <w:rPr>
              <w:rFonts w:ascii="Garamond" w:eastAsia="Garamond" w:hAnsi="Garamond" w:cs="Garamond"/>
              <w:iCs/>
            </w:rPr>
            <w:t xml:space="preserve">p. </w:t>
          </w:r>
          <w:r w:rsidRPr="00421CEA">
            <w:rPr>
              <w:rFonts w:ascii="Garamond" w:eastAsia="Garamond" w:hAnsi="Garamond" w:cs="Garamond"/>
              <w:iCs/>
            </w:rPr>
            <w:t>224-35). The concluding chapter then condenses the historical and theoretical standpoints of the book, by connecting the various degrees of abjection some groups of people have suffered in Italy’s modern history (southerners, women, the Roma, the poor, the ment</w:t>
          </w:r>
          <w:r w:rsidR="00421CEA" w:rsidRPr="00421CEA">
            <w:rPr>
              <w:rFonts w:ascii="Garamond" w:eastAsia="Garamond" w:hAnsi="Garamond" w:cs="Garamond"/>
              <w:iCs/>
            </w:rPr>
            <w:t>ally disabled, Jews, the coloniz</w:t>
          </w:r>
          <w:r w:rsidRPr="00421CEA">
            <w:rPr>
              <w:rFonts w:ascii="Garamond" w:eastAsia="Garamond" w:hAnsi="Garamond" w:cs="Garamond"/>
              <w:iCs/>
            </w:rPr>
            <w:t xml:space="preserve">ed, transgenders, queers) to the nowadays condition of migrant people as they reach the borders of the nation  — and, by extension, of the ‘civilized’ world </w:t>
          </w:r>
          <w:r w:rsidRPr="00421CEA">
            <w:rPr>
              <w:rFonts w:ascii="Garamond" w:eastAsia="Garamond" w:hAnsi="Garamond" w:cs="Garamond"/>
              <w:iCs/>
            </w:rPr>
            <w:softHyphen/>
          </w:r>
          <w:r w:rsidRPr="00421CEA">
            <w:rPr>
              <w:rFonts w:ascii="Garamond" w:eastAsia="Garamond" w:hAnsi="Garamond" w:cs="Garamond"/>
              <w:iCs/>
            </w:rPr>
            <w:softHyphen/>
            <w:t xml:space="preserve">— that is Lampedusa. This is a metaphor for the borders of Italy’s postcolonial society that, according to the author, are still imbued </w:t>
          </w:r>
          <w:r w:rsidR="0074400E">
            <w:rPr>
              <w:rFonts w:ascii="Garamond" w:eastAsia="Garamond" w:hAnsi="Garamond" w:cs="Garamond"/>
              <w:iCs/>
            </w:rPr>
            <w:t>with</w:t>
          </w:r>
          <w:r w:rsidRPr="00421CEA">
            <w:rPr>
              <w:rFonts w:ascii="Garamond" w:eastAsia="Garamond" w:hAnsi="Garamond" w:cs="Garamond"/>
              <w:iCs/>
            </w:rPr>
            <w:t xml:space="preserve"> colonial legacies and by intersecting “</w:t>
          </w:r>
          <w:proofErr w:type="spellStart"/>
          <w:r w:rsidRPr="00421CEA">
            <w:rPr>
              <w:rFonts w:ascii="Garamond" w:eastAsia="Garamond" w:hAnsi="Garamond" w:cs="Garamond"/>
              <w:iCs/>
            </w:rPr>
            <w:t>colour</w:t>
          </w:r>
          <w:proofErr w:type="spellEnd"/>
          <w:r w:rsidRPr="00421CEA">
            <w:rPr>
              <w:rFonts w:ascii="Garamond" w:eastAsia="Garamond" w:hAnsi="Garamond" w:cs="Garamond"/>
              <w:iCs/>
            </w:rPr>
            <w:t>, gender, class, sexuality, and territorial lines, as well as lines of differential inclusion</w:t>
          </w:r>
          <w:r w:rsidR="00421CEA" w:rsidRPr="00421CEA">
            <w:rPr>
              <w:rFonts w:ascii="Garamond" w:eastAsia="Garamond" w:hAnsi="Garamond" w:cs="Garamond"/>
              <w:iCs/>
            </w:rPr>
            <w:t>,</w:t>
          </w:r>
          <w:r w:rsidRPr="00421CEA">
            <w:rPr>
              <w:rFonts w:ascii="Garamond" w:eastAsia="Garamond" w:hAnsi="Garamond" w:cs="Garamond"/>
              <w:iCs/>
            </w:rPr>
            <w:t>” which define who has the right to belong to the body of the nation (</w:t>
          </w:r>
          <w:r w:rsidR="00421CEA" w:rsidRPr="00421CEA">
            <w:rPr>
              <w:rFonts w:ascii="Garamond" w:eastAsia="Garamond" w:hAnsi="Garamond" w:cs="Garamond"/>
              <w:iCs/>
            </w:rPr>
            <w:t xml:space="preserve">p. </w:t>
          </w:r>
          <w:r w:rsidRPr="00421CEA">
            <w:rPr>
              <w:rFonts w:ascii="Garamond" w:eastAsia="Garamond" w:hAnsi="Garamond" w:cs="Garamond"/>
              <w:iCs/>
            </w:rPr>
            <w:t xml:space="preserve">249). </w:t>
          </w:r>
        </w:p>
        <w:p w14:paraId="3D0F2228" w14:textId="103ED380" w:rsidR="00BF443F" w:rsidRPr="00421CEA" w:rsidRDefault="00BF443F" w:rsidP="00BF443F">
          <w:pPr>
            <w:ind w:firstLine="720"/>
            <w:jc w:val="both"/>
            <w:rPr>
              <w:rFonts w:ascii="Garamond" w:eastAsia="Garamond" w:hAnsi="Garamond" w:cs="Garamond"/>
            </w:rPr>
          </w:pPr>
          <w:r w:rsidRPr="00421CEA">
            <w:rPr>
              <w:rFonts w:ascii="Garamond" w:eastAsia="Garamond" w:hAnsi="Garamond" w:cs="Garamond"/>
              <w:i/>
              <w:iCs/>
            </w:rPr>
            <w:t>Race, Nation and Gender in Modern Italy</w:t>
          </w:r>
          <w:r w:rsidRPr="00421CEA">
            <w:rPr>
              <w:rFonts w:ascii="Garamond" w:eastAsia="Garamond" w:hAnsi="Garamond" w:cs="Garamond"/>
              <w:iCs/>
            </w:rPr>
            <w:t xml:space="preserve"> offers a </w:t>
          </w:r>
          <w:r w:rsidR="0074400E">
            <w:rPr>
              <w:rFonts w:ascii="Garamond" w:eastAsia="Garamond" w:hAnsi="Garamond" w:cs="Garamond"/>
              <w:iCs/>
            </w:rPr>
            <w:t>high-level</w:t>
          </w:r>
          <w:r w:rsidRPr="00421CEA">
            <w:rPr>
              <w:rFonts w:ascii="Garamond" w:eastAsia="Garamond" w:hAnsi="Garamond" w:cs="Garamond"/>
              <w:iCs/>
            </w:rPr>
            <w:t xml:space="preserve"> synthesis of the longstanding work of the author dealing with visual constructions of race and whiteness from an intersectional viewpoint. Giuliani</w:t>
          </w:r>
          <w:r w:rsidR="0074400E">
            <w:rPr>
              <w:rFonts w:ascii="Garamond" w:eastAsia="Garamond" w:hAnsi="Garamond" w:cs="Garamond"/>
              <w:iCs/>
            </w:rPr>
            <w:t xml:space="preserve"> insightfully</w:t>
          </w:r>
          <w:r w:rsidRPr="00421CEA">
            <w:rPr>
              <w:rFonts w:ascii="Garamond" w:eastAsia="Garamond" w:hAnsi="Garamond" w:cs="Garamond"/>
              <w:iCs/>
            </w:rPr>
            <w:t xml:space="preserve"> highlights both continuities and discrepancies among multifaceted visual and discursive phenomena by combining Political Thought, Critical-Whiteness Studies, Postcolonial and Decolonial Theory, and Cultural and Gender Studies. This</w:t>
          </w:r>
          <w:r w:rsidR="00077771">
            <w:rPr>
              <w:rFonts w:ascii="Garamond" w:eastAsia="Garamond" w:hAnsi="Garamond" w:cs="Garamond"/>
              <w:iCs/>
            </w:rPr>
            <w:t xml:space="preserve"> </w:t>
          </w:r>
          <w:bookmarkStart w:id="0" w:name="_GoBack"/>
          <w:bookmarkEnd w:id="0"/>
          <w:r w:rsidR="00A73671">
            <w:rPr>
              <w:rFonts w:ascii="Garamond" w:eastAsia="Garamond" w:hAnsi="Garamond" w:cs="Garamond"/>
              <w:iCs/>
            </w:rPr>
            <w:t xml:space="preserve">complex </w:t>
          </w:r>
          <w:r w:rsidRPr="00421CEA">
            <w:rPr>
              <w:rFonts w:ascii="Garamond" w:eastAsia="Garamond" w:hAnsi="Garamond" w:cs="Garamond"/>
              <w:iCs/>
            </w:rPr>
            <w:t xml:space="preserve">juncture of critical approaches is useful to frame the analysis proposed by Giuliani, </w:t>
          </w:r>
          <w:r w:rsidR="00A73671">
            <w:rPr>
              <w:rFonts w:ascii="Garamond" w:eastAsia="Garamond" w:hAnsi="Garamond" w:cs="Garamond"/>
              <w:iCs/>
            </w:rPr>
            <w:t xml:space="preserve">yet it </w:t>
          </w:r>
          <w:r w:rsidRPr="00421CEA">
            <w:rPr>
              <w:rFonts w:ascii="Garamond" w:eastAsia="Garamond" w:hAnsi="Garamond" w:cs="Garamond"/>
              <w:iCs/>
            </w:rPr>
            <w:t xml:space="preserve">requires a certain degree of familiarity both with critical theory and with the topics addressed in the chapters. However, it seems that Giuliani’s choices are motivated both by the complexity of the issues at stake and by the intersectional and long-term perspective she has adopted. </w:t>
          </w:r>
          <w:r w:rsidRPr="00421CEA">
            <w:rPr>
              <w:rFonts w:ascii="Garamond" w:eastAsia="Garamond" w:hAnsi="Garamond" w:cs="Garamond"/>
            </w:rPr>
            <w:t xml:space="preserve">Owing to this critical richness, </w:t>
          </w:r>
          <w:r w:rsidRPr="00421CEA">
            <w:rPr>
              <w:rFonts w:ascii="Garamond" w:eastAsia="Garamond" w:hAnsi="Garamond" w:cs="Garamond"/>
              <w:iCs/>
            </w:rPr>
            <w:t xml:space="preserve">the text would be an extremely valid addition to postgraduate courses in Italian studies, in Sociology, and in Critical Theory, as it offers an acute and refreshing reading of national histories and cultures. </w:t>
          </w:r>
          <w:r w:rsidRPr="00421CEA">
            <w:rPr>
              <w:rFonts w:ascii="Garamond" w:eastAsia="Garamond" w:hAnsi="Garamond" w:cs="Garamond"/>
              <w:i/>
              <w:iCs/>
            </w:rPr>
            <w:t xml:space="preserve">Race, Nation and Gender in Modern Italy </w:t>
          </w:r>
          <w:r w:rsidRPr="00421CEA">
            <w:rPr>
              <w:rFonts w:ascii="Garamond" w:eastAsia="Garamond" w:hAnsi="Garamond" w:cs="Garamond"/>
            </w:rPr>
            <w:t>thus stands as a crucial contribution able to pave the way for future critical works on the intersectional interplay of race, gender, and national belonging in Italy.</w:t>
          </w:r>
        </w:p>
        <w:p w14:paraId="089E3093" w14:textId="77777777" w:rsidR="00BF443F" w:rsidRPr="00421CEA" w:rsidRDefault="00BF443F" w:rsidP="00BF443F">
          <w:pPr>
            <w:ind w:firstLine="720"/>
            <w:jc w:val="both"/>
            <w:rPr>
              <w:rFonts w:ascii="Garamond" w:eastAsia="Garamond" w:hAnsi="Garamond" w:cs="Garamond"/>
            </w:rPr>
          </w:pPr>
        </w:p>
        <w:p w14:paraId="37BA3B4A" w14:textId="77777777" w:rsidR="00BF443F" w:rsidRPr="00421CEA" w:rsidRDefault="00BF443F" w:rsidP="00BF443F">
          <w:pPr>
            <w:ind w:firstLine="720"/>
            <w:jc w:val="both"/>
            <w:rPr>
              <w:rFonts w:ascii="Garamond" w:eastAsia="Garamond" w:hAnsi="Garamond" w:cs="Garamond"/>
            </w:rPr>
          </w:pPr>
          <w:r w:rsidRPr="00421CEA">
            <w:rPr>
              <w:rFonts w:ascii="Garamond" w:eastAsia="Garamond" w:hAnsi="Garamond" w:cs="Garamond"/>
            </w:rPr>
            <w:t>GIANMARCO MANCOSU</w:t>
          </w:r>
        </w:p>
        <w:p w14:paraId="7E814F16" w14:textId="77777777" w:rsidR="00BF443F" w:rsidRPr="00421CEA" w:rsidRDefault="00BF443F" w:rsidP="00BF443F">
          <w:pPr>
            <w:ind w:firstLine="720"/>
            <w:jc w:val="both"/>
            <w:rPr>
              <w:rFonts w:ascii="Garamond" w:eastAsia="Garamond" w:hAnsi="Garamond" w:cs="Garamond"/>
            </w:rPr>
          </w:pPr>
          <w:r w:rsidRPr="00421CEA">
            <w:rPr>
              <w:rFonts w:ascii="Garamond" w:eastAsia="Garamond" w:hAnsi="Garamond" w:cs="Garamond"/>
            </w:rPr>
            <w:t>University of Warwick</w:t>
          </w:r>
        </w:p>
        <w:p w14:paraId="41C3EA97" w14:textId="77777777" w:rsidR="00BF443F" w:rsidRPr="00421CEA" w:rsidRDefault="00BF443F" w:rsidP="00BF443F">
          <w:pPr>
            <w:widowControl w:val="0"/>
            <w:ind w:right="4"/>
            <w:jc w:val="both"/>
            <w:rPr>
              <w:rFonts w:ascii="Garamond" w:eastAsia="Garamond" w:hAnsi="Garamond" w:cs="Garamond"/>
            </w:rPr>
          </w:pPr>
        </w:p>
        <w:p w14:paraId="140B7667" w14:textId="77777777" w:rsidR="00BF443F" w:rsidRPr="00421CEA" w:rsidRDefault="00BF443F" w:rsidP="00BF443F">
          <w:pPr>
            <w:widowControl w:val="0"/>
            <w:ind w:right="4"/>
            <w:jc w:val="both"/>
            <w:rPr>
              <w:rFonts w:ascii="Garamond" w:eastAsia="Garamond" w:hAnsi="Garamond" w:cs="Garamond"/>
            </w:rPr>
          </w:pPr>
        </w:p>
        <w:p w14:paraId="16CA1534" w14:textId="77777777" w:rsidR="00BF443F" w:rsidRPr="00421CEA" w:rsidRDefault="00BF443F" w:rsidP="00BF443F"/>
        <w:p w14:paraId="0FAB0783" w14:textId="77777777" w:rsidR="00D5528C" w:rsidRPr="00421CEA" w:rsidRDefault="00F27075" w:rsidP="00D5528C">
          <w:pPr>
            <w:rPr>
              <w:rFonts w:ascii="Garamond" w:eastAsia="Garamond" w:hAnsi="Garamond" w:cs="Garamond"/>
            </w:rPr>
          </w:pPr>
        </w:p>
      </w:sdtContent>
    </w:sdt>
    <w:p w14:paraId="08B293AE" w14:textId="77777777" w:rsidR="00257429" w:rsidRPr="00421CEA" w:rsidRDefault="00257429">
      <w:pPr>
        <w:rPr>
          <w:rFonts w:ascii="Garamond" w:hAnsi="Garamond"/>
        </w:rPr>
      </w:pPr>
    </w:p>
    <w:sectPr w:rsidR="00257429" w:rsidRPr="00421CEA" w:rsidSect="000F3D5C">
      <w:headerReference w:type="even" r:id="rId19"/>
      <w:headerReference w:type="default" r:id="rId20"/>
      <w:footerReference w:type="even" r:id="rId21"/>
      <w:footerReference w:type="default" r:id="rId22"/>
      <w:footerReference w:type="first" r:id="rId23"/>
      <w:pgSz w:w="12240" w:h="15840"/>
      <w:pgMar w:top="1440" w:right="1440" w:bottom="1440" w:left="1440" w:header="720" w:footer="720" w:gutter="0"/>
      <w:pgNumType w:start="269"/>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657740" w14:textId="77777777" w:rsidR="00F27075" w:rsidRDefault="00F27075">
      <w:r>
        <w:separator/>
      </w:r>
    </w:p>
  </w:endnote>
  <w:endnote w:type="continuationSeparator" w:id="0">
    <w:p w14:paraId="17ED46C1" w14:textId="77777777" w:rsidR="00F27075" w:rsidRDefault="00F27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altName w:val="Courier New"/>
    <w:panose1 w:val="020B0604020202020204"/>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
    <w:panose1 w:val="00000500000000020000"/>
    <w:charset w:val="00"/>
    <w:family w:val="auto"/>
    <w:pitch w:val="variable"/>
    <w:sig w:usb0="E00002FF" w:usb1="5000205A" w:usb2="00000000" w:usb3="00000000" w:csb0="0000019F" w:csb1="00000000"/>
  </w:font>
  <w:font w:name="Yu Gothic Light">
    <w:panose1 w:val="020B0300000000000000"/>
    <w:charset w:val="80"/>
    <w:family w:val="swiss"/>
    <w:pitch w:val="variable"/>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188B31" w14:textId="77777777" w:rsidR="004E1E5C" w:rsidRDefault="004E1E5C">
    <w:pPr>
      <w:pStyle w:val="HeaderFooter"/>
      <w:pBdr>
        <w:top w:val="none" w:sz="0" w:space="0" w:color="auto"/>
        <w:left w:val="none" w:sz="0" w:space="0" w:color="auto"/>
        <w:bottom w:val="none" w:sz="0" w:space="0" w:color="auto"/>
        <w:right w:val="none" w:sz="0" w:space="0" w:color="auto"/>
        <w:bar w:val="none" w:sz="0" w:color="auto"/>
      </w:pBdr>
      <w:ind w:right="360"/>
      <w:jc w:val="center"/>
    </w:pPr>
    <w:r w:rsidRPr="003B7F23">
      <w:rPr>
        <w:rFonts w:ascii="Garamond" w:hAnsi="Garamond"/>
        <w:i/>
      </w:rPr>
      <w:t>gender/sexuality/</w:t>
    </w:r>
    <w:r>
      <w:rPr>
        <w:rFonts w:ascii="Garamond" w:hAnsi="Garamond"/>
        <w:i/>
      </w:rPr>
      <w:t>italy</w:t>
    </w:r>
    <w:r>
      <w:rPr>
        <w:rFonts w:ascii="Garamond" w:hAnsi="Garamond"/>
      </w:rPr>
      <w:t xml:space="preserve"> 2 (2015)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52D28E" w14:textId="77777777" w:rsidR="004E1E5C" w:rsidRPr="003B7F23" w:rsidRDefault="004E1E5C" w:rsidP="00846D8E">
    <w:pPr>
      <w:pStyle w:val="HeaderFooter"/>
      <w:pBdr>
        <w:top w:val="none" w:sz="0" w:space="0" w:color="auto"/>
        <w:left w:val="none" w:sz="0" w:space="0" w:color="auto"/>
        <w:bottom w:val="none" w:sz="0" w:space="0" w:color="auto"/>
        <w:right w:val="none" w:sz="0" w:space="0" w:color="auto"/>
        <w:bar w:val="none" w:sz="0" w:color="auto"/>
      </w:pBdr>
      <w:ind w:right="360"/>
      <w:jc w:val="center"/>
      <w:rPr>
        <w:rFonts w:ascii="Garamond" w:hAnsi="Garamond"/>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F80B2E" w14:textId="77777777" w:rsidR="004E1E5C" w:rsidRPr="00407EC7" w:rsidRDefault="004E1E5C" w:rsidP="00846D8E">
    <w:pPr>
      <w:pStyle w:val="HeaderFooter"/>
      <w:pBdr>
        <w:top w:val="none" w:sz="0" w:space="0" w:color="auto"/>
        <w:left w:val="none" w:sz="0" w:space="0" w:color="auto"/>
        <w:bottom w:val="none" w:sz="0" w:space="0" w:color="auto"/>
        <w:right w:val="none" w:sz="0" w:space="0" w:color="auto"/>
        <w:bar w:val="none" w:sz="0" w:color="auto"/>
      </w:pBdr>
      <w:ind w:right="360"/>
      <w:rPr>
        <w:rFonts w:ascii="Garamond" w:hAnsi="Garamond"/>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291ED5" w14:textId="77777777" w:rsidR="004E1E5C" w:rsidRDefault="004E1E5C" w:rsidP="00846D8E">
    <w:pPr>
      <w:pStyle w:val="Footer"/>
      <w:ind w:right="360"/>
      <w:jc w:val="center"/>
      <w:rPr>
        <w:rFonts w:ascii="Garamond" w:eastAsia="Garamond" w:hAnsi="Garamond" w:cs="Garamond"/>
      </w:rPr>
    </w:pPr>
  </w:p>
  <w:p w14:paraId="5B9079FD" w14:textId="77777777" w:rsidR="004E1E5C" w:rsidRPr="005B4DF2" w:rsidRDefault="004E1E5C" w:rsidP="00846D8E">
    <w:pPr>
      <w:pStyle w:val="Footer"/>
      <w:ind w:right="360"/>
      <w:jc w:val="center"/>
      <w:rPr>
        <w:rFonts w:ascii="Garamond" w:hAnsi="Garamond"/>
      </w:rPr>
    </w:pPr>
    <w:r>
      <w:rPr>
        <w:rFonts w:ascii="Garamond" w:eastAsia="Garamond" w:hAnsi="Garamond" w:cs="Garamond"/>
      </w:rPr>
      <w:t>Reviews</w:t>
    </w:r>
  </w:p>
  <w:p w14:paraId="50A4C9FC" w14:textId="77777777" w:rsidR="004E1E5C" w:rsidRPr="00527564" w:rsidRDefault="004E1E5C" w:rsidP="00846D8E">
    <w:pPr>
      <w:pStyle w:val="HeaderFooter"/>
      <w:pBdr>
        <w:top w:val="none" w:sz="0" w:space="0" w:color="auto"/>
        <w:left w:val="none" w:sz="0" w:space="0" w:color="auto"/>
        <w:bottom w:val="none" w:sz="0" w:space="0" w:color="auto"/>
        <w:right w:val="none" w:sz="0" w:space="0" w:color="auto"/>
        <w:bar w:val="none" w:sz="0" w:color="auto"/>
      </w:pBdr>
      <w:ind w:right="360"/>
      <w:jc w:val="center"/>
      <w:rPr>
        <w:rFonts w:ascii="Garamond" w:hAnsi="Garamond"/>
      </w:rPr>
    </w:pPr>
    <w:r w:rsidRPr="00A93801">
      <w:rPr>
        <w:rFonts w:ascii="Garamond" w:eastAsia="Garamond" w:hAnsi="Garamond" w:cs="Garamond"/>
        <w:i/>
        <w:iCs/>
      </w:rPr>
      <w:t>gender/sexuality/italy</w:t>
    </w:r>
    <w:r>
      <w:rPr>
        <w:rFonts w:ascii="Garamond" w:eastAsia="Garamond" w:hAnsi="Garamond" w:cs="Garamond"/>
      </w:rPr>
      <w:t xml:space="preserve"> 5 (2018</w:t>
    </w:r>
    <w:r w:rsidRPr="00A93801">
      <w:rPr>
        <w:rFonts w:ascii="Garamond" w:eastAsia="Garamond" w:hAnsi="Garamond" w:cs="Garamond"/>
      </w:rPr>
      <w:t>)</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FBE26C" w14:textId="77777777" w:rsidR="004E1E5C" w:rsidRPr="005B4DF2" w:rsidRDefault="004E1E5C" w:rsidP="00846D8E">
    <w:pPr>
      <w:pStyle w:val="Footer"/>
      <w:ind w:right="360"/>
      <w:jc w:val="center"/>
      <w:rPr>
        <w:rFonts w:ascii="Garamond" w:hAnsi="Garamond"/>
      </w:rPr>
    </w:pPr>
    <w:r>
      <w:rPr>
        <w:rFonts w:ascii="Garamond" w:eastAsia="Garamond" w:hAnsi="Garamond" w:cs="Garamond"/>
      </w:rPr>
      <w:t>Reviews</w:t>
    </w:r>
  </w:p>
  <w:p w14:paraId="4ECD4163" w14:textId="55673445" w:rsidR="004E1E5C" w:rsidRPr="007E5E8C" w:rsidRDefault="004E1E5C" w:rsidP="007E5E8C">
    <w:pPr>
      <w:pStyle w:val="HeaderFooter"/>
      <w:pBdr>
        <w:top w:val="none" w:sz="0" w:space="0" w:color="auto"/>
        <w:left w:val="none" w:sz="0" w:space="0" w:color="auto"/>
        <w:bottom w:val="none" w:sz="0" w:space="0" w:color="auto"/>
        <w:right w:val="none" w:sz="0" w:space="0" w:color="auto"/>
        <w:bar w:val="none" w:sz="0" w:color="auto"/>
      </w:pBdr>
      <w:ind w:right="360"/>
      <w:jc w:val="center"/>
      <w:rPr>
        <w:rFonts w:ascii="Garamond" w:hAnsi="Garamond"/>
      </w:rPr>
    </w:pPr>
    <w:r w:rsidRPr="00A93801">
      <w:rPr>
        <w:rFonts w:ascii="Garamond" w:eastAsia="Garamond" w:hAnsi="Garamond" w:cs="Garamond"/>
        <w:i/>
        <w:iCs/>
      </w:rPr>
      <w:t>gender/sexuality/italy</w:t>
    </w:r>
    <w:r w:rsidR="00821DB8">
      <w:rPr>
        <w:rFonts w:ascii="Garamond" w:eastAsia="Garamond" w:hAnsi="Garamond" w:cs="Garamond"/>
      </w:rPr>
      <w:t xml:space="preserve"> 7</w:t>
    </w:r>
    <w:r>
      <w:rPr>
        <w:rFonts w:ascii="Garamond" w:eastAsia="Garamond" w:hAnsi="Garamond" w:cs="Garamond"/>
      </w:rPr>
      <w:t xml:space="preserve"> (</w:t>
    </w:r>
    <w:r w:rsidR="00821DB8">
      <w:rPr>
        <w:rFonts w:ascii="Garamond" w:eastAsia="Garamond" w:hAnsi="Garamond" w:cs="Garamond"/>
      </w:rPr>
      <w:t>2020</w:t>
    </w:r>
    <w:r w:rsidRPr="00A93801">
      <w:rPr>
        <w:rFonts w:ascii="Garamond" w:eastAsia="Garamond" w:hAnsi="Garamond" w:cs="Garamond"/>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AB116" w14:textId="77777777" w:rsidR="004E1E5C" w:rsidRDefault="004E1E5C" w:rsidP="00846D8E">
    <w:pPr>
      <w:pStyle w:val="Footer"/>
      <w:ind w:right="360"/>
      <w:jc w:val="center"/>
      <w:rPr>
        <w:rFonts w:ascii="Garamond" w:eastAsia="Garamond" w:hAnsi="Garamond" w:cs="Garamond"/>
      </w:rPr>
    </w:pPr>
  </w:p>
  <w:p w14:paraId="0A28A171" w14:textId="77777777" w:rsidR="004E1E5C" w:rsidRPr="005B4DF2" w:rsidRDefault="004E1E5C" w:rsidP="00846D8E">
    <w:pPr>
      <w:pStyle w:val="Footer"/>
      <w:ind w:right="360"/>
      <w:jc w:val="center"/>
      <w:rPr>
        <w:rFonts w:ascii="Garamond" w:hAnsi="Garamond"/>
      </w:rPr>
    </w:pPr>
    <w:r>
      <w:rPr>
        <w:rFonts w:ascii="Garamond" w:eastAsia="Garamond" w:hAnsi="Garamond" w:cs="Garamond"/>
      </w:rPr>
      <w:t>Reviews</w:t>
    </w:r>
  </w:p>
  <w:p w14:paraId="53C616AF" w14:textId="03045D32" w:rsidR="004E1E5C" w:rsidRPr="00A208C7" w:rsidRDefault="004E1E5C" w:rsidP="00846D8E">
    <w:pPr>
      <w:pStyle w:val="HeaderFooter"/>
      <w:pBdr>
        <w:top w:val="none" w:sz="0" w:space="0" w:color="auto"/>
        <w:left w:val="none" w:sz="0" w:space="0" w:color="auto"/>
        <w:bottom w:val="none" w:sz="0" w:space="0" w:color="auto"/>
        <w:right w:val="none" w:sz="0" w:space="0" w:color="auto"/>
        <w:bar w:val="none" w:sz="0" w:color="auto"/>
      </w:pBdr>
      <w:ind w:right="360"/>
      <w:jc w:val="center"/>
      <w:rPr>
        <w:rFonts w:ascii="Garamond" w:hAnsi="Garamond"/>
      </w:rPr>
    </w:pPr>
    <w:r w:rsidRPr="00A93801">
      <w:rPr>
        <w:rFonts w:ascii="Garamond" w:eastAsia="Garamond" w:hAnsi="Garamond" w:cs="Garamond"/>
        <w:i/>
        <w:iCs/>
      </w:rPr>
      <w:t>gender/sexuality/italy</w:t>
    </w:r>
    <w:r>
      <w:rPr>
        <w:rFonts w:ascii="Garamond" w:eastAsia="Garamond" w:hAnsi="Garamond" w:cs="Garamond"/>
      </w:rPr>
      <w:t xml:space="preserve"> 7 (2020</w:t>
    </w:r>
    <w:r w:rsidRPr="00A93801">
      <w:rPr>
        <w:rFonts w:ascii="Garamond" w:eastAsia="Garamond" w:hAnsi="Garamond" w:cs="Garamond"/>
      </w:rPr>
      <w:t>)</w:t>
    </w:r>
  </w:p>
  <w:p w14:paraId="71611EF9" w14:textId="77777777" w:rsidR="004E1E5C" w:rsidRPr="00407EC7" w:rsidRDefault="004E1E5C" w:rsidP="00846D8E">
    <w:pPr>
      <w:pStyle w:val="HeaderFooter"/>
      <w:pBdr>
        <w:top w:val="none" w:sz="0" w:space="0" w:color="auto"/>
        <w:left w:val="none" w:sz="0" w:space="0" w:color="auto"/>
        <w:bottom w:val="none" w:sz="0" w:space="0" w:color="auto"/>
        <w:right w:val="none" w:sz="0" w:space="0" w:color="auto"/>
        <w:bar w:val="none" w:sz="0" w:color="auto"/>
      </w:pBdr>
      <w:ind w:right="360"/>
      <w:rPr>
        <w:rFonts w:ascii="Garamond" w:hAnsi="Garamon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87BC95" w14:textId="77777777" w:rsidR="00F27075" w:rsidRDefault="00F27075">
      <w:r>
        <w:separator/>
      </w:r>
    </w:p>
  </w:footnote>
  <w:footnote w:type="continuationSeparator" w:id="0">
    <w:p w14:paraId="445D31F2" w14:textId="77777777" w:rsidR="00F27075" w:rsidRDefault="00F27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1B12CA" w14:textId="77777777" w:rsidR="004E1E5C" w:rsidRPr="00330472" w:rsidRDefault="004E1E5C" w:rsidP="00846D8E">
    <w:pPr>
      <w:widowControl w:val="0"/>
      <w:autoSpaceDE w:val="0"/>
      <w:autoSpaceDN w:val="0"/>
      <w:adjustRightInd w:val="0"/>
      <w:spacing w:after="240"/>
      <w:rPr>
        <w:rFonts w:cs="Times"/>
      </w:rPr>
    </w:pPr>
    <w:r w:rsidRPr="007041B9">
      <w:rPr>
        <w:rFonts w:ascii="Garamond" w:hAnsi="Garamond" w:cs="Garamond"/>
        <w:position w:val="-3"/>
      </w:rPr>
      <w:t xml:space="preserve">2 </w:t>
    </w:r>
    <w:r>
      <w:rPr>
        <w:rFonts w:ascii="Garamond" w:hAnsi="Garamond" w:cs="Garamond"/>
        <w:noProof/>
        <w:sz w:val="30"/>
        <w:szCs w:val="30"/>
      </w:rPr>
      <w:drawing>
        <wp:inline distT="0" distB="0" distL="0" distR="0" wp14:anchorId="7F0D919A" wp14:editId="4697BBD4">
          <wp:extent cx="7620" cy="121920"/>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 cy="121920"/>
                  </a:xfrm>
                  <a:prstGeom prst="rect">
                    <a:avLst/>
                  </a:prstGeom>
                  <a:noFill/>
                  <a:ln>
                    <a:noFill/>
                  </a:ln>
                </pic:spPr>
              </pic:pic>
            </a:graphicData>
          </a:graphic>
        </wp:inline>
      </w:drawing>
    </w:r>
    <w:r w:rsidRPr="007041B9">
      <w:rPr>
        <w:rFonts w:ascii="Garamond" w:hAnsi="Garamond" w:cs="Garamond"/>
        <w:position w:val="-3"/>
        <w:sz w:val="30"/>
        <w:szCs w:val="30"/>
      </w:rPr>
      <w:t xml:space="preserve"> </w:t>
    </w:r>
    <w:r w:rsidRPr="007041B9">
      <w:rPr>
        <w:rFonts w:ascii="Garamond" w:hAnsi="Garamond" w:cs="Garamond"/>
      </w:rPr>
      <w:t>BOOK REVIEW</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C299F3" w14:textId="77777777" w:rsidR="004E1E5C" w:rsidRPr="003B7F23" w:rsidRDefault="004E1E5C" w:rsidP="00846D8E">
    <w:pPr>
      <w:pStyle w:val="HeaderFooter"/>
      <w:pBdr>
        <w:top w:val="none" w:sz="0" w:space="0" w:color="auto"/>
        <w:left w:val="none" w:sz="0" w:space="0" w:color="auto"/>
        <w:bottom w:val="none" w:sz="0" w:space="0" w:color="auto"/>
        <w:right w:val="none" w:sz="0" w:space="0" w:color="auto"/>
        <w:bar w:val="none" w:sz="0" w:color="auto"/>
      </w:pBdr>
      <w:rPr>
        <w:rFonts w:ascii="Garamond" w:hAnsi="Garamond"/>
        <w:smallCap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0D89A9" w14:textId="77777777" w:rsidR="004E1E5C" w:rsidRPr="00527564" w:rsidRDefault="004E1E5C" w:rsidP="00846D8E">
    <w:pPr>
      <w:pStyle w:val="Header"/>
      <w:tabs>
        <w:tab w:val="left" w:pos="2600"/>
        <w:tab w:val="right" w:pos="9000"/>
      </w:tabs>
      <w:ind w:right="360"/>
      <w:rPr>
        <w:rFonts w:ascii="Garamond" w:hAnsi="Garamond"/>
        <w:smallCaps/>
        <w:sz w:val="24"/>
        <w:szCs w:val="24"/>
      </w:rPr>
    </w:pPr>
    <w:r w:rsidRPr="00586976">
      <w:rPr>
        <w:rStyle w:val="PageNumber"/>
        <w:rFonts w:ascii="Garamond" w:hAnsi="Garamond"/>
        <w:smallCaps/>
        <w:sz w:val="24"/>
        <w:szCs w:val="24"/>
        <w:highlight w:val="yellow"/>
      </w:rPr>
      <w:t>x</w:t>
    </w:r>
    <w:r>
      <w:rPr>
        <w:rStyle w:val="PageNumber"/>
        <w:rFonts w:ascii="Garamond" w:hAnsi="Garamond"/>
        <w:smallCaps/>
        <w:sz w:val="24"/>
        <w:szCs w:val="24"/>
      </w:rPr>
      <w:t xml:space="preserve"> | Danila Cannamela</w:t>
    </w:r>
    <w:r>
      <w:rPr>
        <w:rStyle w:val="PageNumber"/>
        <w:rFonts w:ascii="Garamond" w:hAnsi="Garamond"/>
        <w:smallCaps/>
        <w:sz w:val="24"/>
        <w:szCs w:val="24"/>
      </w:rPr>
      <w:tab/>
    </w:r>
    <w:r w:rsidRPr="00527564">
      <w:rPr>
        <w:rStyle w:val="PageNumber"/>
        <w:rFonts w:ascii="Garamond" w:hAnsi="Garamond"/>
        <w:smallCaps/>
        <w:sz w:val="24"/>
        <w:szCs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172F2" w14:textId="1CE7929E" w:rsidR="004E1E5C" w:rsidRDefault="00421CEA" w:rsidP="00846D8E">
    <w:pPr>
      <w:shd w:val="clear" w:color="auto" w:fill="FFFFFF"/>
      <w:tabs>
        <w:tab w:val="left" w:pos="2307"/>
      </w:tabs>
      <w:jc w:val="right"/>
      <w:rPr>
        <w:rStyle w:val="PageNumber"/>
        <w:rFonts w:ascii="Garamond" w:hAnsi="Garamond"/>
        <w:smallCaps/>
      </w:rPr>
    </w:pPr>
    <w:r>
      <w:rPr>
        <w:rStyle w:val="PageNumber"/>
        <w:rFonts w:ascii="Garamond" w:hAnsi="Garamond"/>
        <w:smallCaps/>
      </w:rPr>
      <w:t>Gianmarco</w:t>
    </w:r>
    <w:r w:rsidR="004E1E5C" w:rsidRPr="00F1046E">
      <w:rPr>
        <w:rStyle w:val="PageNumber"/>
        <w:rFonts w:ascii="Garamond" w:hAnsi="Garamond"/>
        <w:smallCaps/>
      </w:rPr>
      <w:t xml:space="preserve"> </w:t>
    </w:r>
    <w:r>
      <w:rPr>
        <w:rStyle w:val="PageNumber"/>
        <w:rFonts w:ascii="Garamond" w:hAnsi="Garamond"/>
        <w:smallCaps/>
      </w:rPr>
      <w:t>Mancosu</w:t>
    </w:r>
    <w:r w:rsidR="004E1E5C">
      <w:rPr>
        <w:rStyle w:val="PageNumber"/>
        <w:rFonts w:ascii="Garamond" w:hAnsi="Garamond"/>
        <w:smallCaps/>
      </w:rPr>
      <w:t xml:space="preserve"> | </w:t>
    </w:r>
    <w:r w:rsidR="004E1E5C" w:rsidRPr="009C6A7A">
      <w:rPr>
        <w:rStyle w:val="PageNumber"/>
        <w:rFonts w:ascii="Garamond" w:hAnsi="Garamond"/>
        <w:smallCaps/>
        <w:highlight w:val="yellow"/>
      </w:rPr>
      <w:t>XX</w:t>
    </w:r>
  </w:p>
  <w:p w14:paraId="228DBC9C" w14:textId="77777777" w:rsidR="004E1E5C" w:rsidRPr="00527564" w:rsidRDefault="004E1E5C" w:rsidP="00846D8E">
    <w:pPr>
      <w:shd w:val="clear" w:color="auto" w:fill="FFFFFF"/>
      <w:tabs>
        <w:tab w:val="left" w:pos="2307"/>
      </w:tabs>
      <w:jc w:val="right"/>
      <w:rPr>
        <w:rFonts w:ascii="Garamond" w:hAnsi="Garamond"/>
        <w:color w:val="212121"/>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7"/>
  <w:removePersonalInformation/>
  <w:removeDateAndTime/>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it-IT" w:vendorID="64" w:dllVersion="0" w:nlCheck="1" w:checkStyle="0"/>
  <w:activeWritingStyle w:appName="MSWord" w:lang="it-IT" w:vendorID="64" w:dllVersion="4096" w:nlCheck="1" w:checkStyle="0"/>
  <w:activeWritingStyle w:appName="MSWord" w:lang="en-GB" w:vendorID="64" w:dllVersion="6"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081E"/>
    <w:rsid w:val="00000B3B"/>
    <w:rsid w:val="00032291"/>
    <w:rsid w:val="000518CE"/>
    <w:rsid w:val="00073791"/>
    <w:rsid w:val="00075268"/>
    <w:rsid w:val="00075C70"/>
    <w:rsid w:val="00077771"/>
    <w:rsid w:val="000B20F8"/>
    <w:rsid w:val="000D649D"/>
    <w:rsid w:val="000F3D5C"/>
    <w:rsid w:val="00101BF9"/>
    <w:rsid w:val="00145549"/>
    <w:rsid w:val="00174413"/>
    <w:rsid w:val="0018078A"/>
    <w:rsid w:val="001A0A73"/>
    <w:rsid w:val="001E2ED8"/>
    <w:rsid w:val="001E3556"/>
    <w:rsid w:val="00207F3B"/>
    <w:rsid w:val="00245B01"/>
    <w:rsid w:val="00257429"/>
    <w:rsid w:val="00264B8F"/>
    <w:rsid w:val="002974E4"/>
    <w:rsid w:val="002A34A1"/>
    <w:rsid w:val="00302A76"/>
    <w:rsid w:val="0031560A"/>
    <w:rsid w:val="00337FBB"/>
    <w:rsid w:val="00362A1E"/>
    <w:rsid w:val="0036334B"/>
    <w:rsid w:val="00366B17"/>
    <w:rsid w:val="00381F82"/>
    <w:rsid w:val="003968BE"/>
    <w:rsid w:val="003B5259"/>
    <w:rsid w:val="003D2FA2"/>
    <w:rsid w:val="003D621E"/>
    <w:rsid w:val="00421CEA"/>
    <w:rsid w:val="00436D03"/>
    <w:rsid w:val="00455543"/>
    <w:rsid w:val="00457029"/>
    <w:rsid w:val="00461340"/>
    <w:rsid w:val="00490F6B"/>
    <w:rsid w:val="004A2040"/>
    <w:rsid w:val="004E0173"/>
    <w:rsid w:val="004E1E5C"/>
    <w:rsid w:val="005364ED"/>
    <w:rsid w:val="00540FCB"/>
    <w:rsid w:val="005428AE"/>
    <w:rsid w:val="00564D2C"/>
    <w:rsid w:val="00572DDD"/>
    <w:rsid w:val="00582B8B"/>
    <w:rsid w:val="005C3C5B"/>
    <w:rsid w:val="00625D56"/>
    <w:rsid w:val="00647C11"/>
    <w:rsid w:val="00661726"/>
    <w:rsid w:val="00665839"/>
    <w:rsid w:val="0067624E"/>
    <w:rsid w:val="006857C9"/>
    <w:rsid w:val="006F7B15"/>
    <w:rsid w:val="00735ECF"/>
    <w:rsid w:val="00736BEA"/>
    <w:rsid w:val="0074400E"/>
    <w:rsid w:val="00752309"/>
    <w:rsid w:val="007870CA"/>
    <w:rsid w:val="007A2D5A"/>
    <w:rsid w:val="007D44EE"/>
    <w:rsid w:val="007E5E8C"/>
    <w:rsid w:val="007F0FC9"/>
    <w:rsid w:val="00805D29"/>
    <w:rsid w:val="00820220"/>
    <w:rsid w:val="00821DB8"/>
    <w:rsid w:val="00846D8E"/>
    <w:rsid w:val="00864A90"/>
    <w:rsid w:val="00874FE2"/>
    <w:rsid w:val="0088602A"/>
    <w:rsid w:val="008A3D18"/>
    <w:rsid w:val="008D09BC"/>
    <w:rsid w:val="00962863"/>
    <w:rsid w:val="00964F89"/>
    <w:rsid w:val="009867A2"/>
    <w:rsid w:val="009A0F5A"/>
    <w:rsid w:val="009A5079"/>
    <w:rsid w:val="009C0CB9"/>
    <w:rsid w:val="009C6A7A"/>
    <w:rsid w:val="009E6443"/>
    <w:rsid w:val="00A271BA"/>
    <w:rsid w:val="00A5450A"/>
    <w:rsid w:val="00A73671"/>
    <w:rsid w:val="00AB2751"/>
    <w:rsid w:val="00AB7BE0"/>
    <w:rsid w:val="00AD3B0B"/>
    <w:rsid w:val="00B07C49"/>
    <w:rsid w:val="00B23309"/>
    <w:rsid w:val="00B4785E"/>
    <w:rsid w:val="00B7673D"/>
    <w:rsid w:val="00BD58C8"/>
    <w:rsid w:val="00BF3430"/>
    <w:rsid w:val="00BF443F"/>
    <w:rsid w:val="00C0066E"/>
    <w:rsid w:val="00C0081E"/>
    <w:rsid w:val="00C07058"/>
    <w:rsid w:val="00C21AED"/>
    <w:rsid w:val="00C27AB5"/>
    <w:rsid w:val="00C86D34"/>
    <w:rsid w:val="00C97F1B"/>
    <w:rsid w:val="00CB70F9"/>
    <w:rsid w:val="00CD164D"/>
    <w:rsid w:val="00CF7C95"/>
    <w:rsid w:val="00D1748F"/>
    <w:rsid w:val="00D22B97"/>
    <w:rsid w:val="00D5528C"/>
    <w:rsid w:val="00D722C9"/>
    <w:rsid w:val="00D81830"/>
    <w:rsid w:val="00DF6C8B"/>
    <w:rsid w:val="00E05FA6"/>
    <w:rsid w:val="00E11C3D"/>
    <w:rsid w:val="00E3072A"/>
    <w:rsid w:val="00E5615E"/>
    <w:rsid w:val="00E71B11"/>
    <w:rsid w:val="00EC5F30"/>
    <w:rsid w:val="00F07B6A"/>
    <w:rsid w:val="00F1046E"/>
    <w:rsid w:val="00F27075"/>
    <w:rsid w:val="00F305CB"/>
    <w:rsid w:val="00F3451B"/>
    <w:rsid w:val="00F40A59"/>
    <w:rsid w:val="00F90BD3"/>
    <w:rsid w:val="00FA6E4D"/>
    <w:rsid w:val="00FC29F9"/>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210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4785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0081E"/>
    <w:pPr>
      <w:tabs>
        <w:tab w:val="center" w:pos="4819"/>
        <w:tab w:val="right" w:pos="9638"/>
      </w:tabs>
    </w:pPr>
    <w:rPr>
      <w:rFonts w:ascii="Calibri" w:eastAsia="Calibri" w:hAnsi="Calibri"/>
      <w:sz w:val="22"/>
      <w:szCs w:val="22"/>
      <w:lang w:val="it-IT"/>
    </w:rPr>
  </w:style>
  <w:style w:type="character" w:customStyle="1" w:styleId="HeaderChar">
    <w:name w:val="Header Char"/>
    <w:basedOn w:val="DefaultParagraphFont"/>
    <w:link w:val="Header"/>
    <w:uiPriority w:val="99"/>
    <w:rsid w:val="00C0081E"/>
    <w:rPr>
      <w:rFonts w:ascii="Calibri" w:eastAsia="Calibri" w:hAnsi="Calibri" w:cs="Times New Roman"/>
      <w:lang w:val="it-IT"/>
    </w:rPr>
  </w:style>
  <w:style w:type="paragraph" w:styleId="Footer">
    <w:name w:val="footer"/>
    <w:basedOn w:val="Normal"/>
    <w:link w:val="FooterChar"/>
    <w:uiPriority w:val="99"/>
    <w:unhideWhenUsed/>
    <w:rsid w:val="00C0081E"/>
    <w:pPr>
      <w:tabs>
        <w:tab w:val="center" w:pos="4819"/>
        <w:tab w:val="right" w:pos="9638"/>
      </w:tabs>
    </w:pPr>
    <w:rPr>
      <w:rFonts w:ascii="Calibri" w:eastAsia="Calibri" w:hAnsi="Calibri"/>
      <w:sz w:val="22"/>
      <w:szCs w:val="22"/>
      <w:lang w:val="it-IT"/>
    </w:rPr>
  </w:style>
  <w:style w:type="character" w:customStyle="1" w:styleId="FooterChar">
    <w:name w:val="Footer Char"/>
    <w:basedOn w:val="DefaultParagraphFont"/>
    <w:link w:val="Footer"/>
    <w:uiPriority w:val="99"/>
    <w:rsid w:val="00C0081E"/>
    <w:rPr>
      <w:rFonts w:ascii="Calibri" w:eastAsia="Calibri" w:hAnsi="Calibri" w:cs="Times New Roman"/>
      <w:lang w:val="it-IT"/>
    </w:rPr>
  </w:style>
  <w:style w:type="character" w:styleId="Hyperlink">
    <w:name w:val="Hyperlink"/>
    <w:uiPriority w:val="99"/>
    <w:unhideWhenUsed/>
    <w:rsid w:val="00C0081E"/>
    <w:rPr>
      <w:color w:val="0563C1"/>
      <w:u w:val="single"/>
    </w:rPr>
  </w:style>
  <w:style w:type="paragraph" w:customStyle="1" w:styleId="HeaderFooter">
    <w:name w:val="Header &amp; Footer"/>
    <w:uiPriority w:val="99"/>
    <w:rsid w:val="00C0081E"/>
    <w:pPr>
      <w:pBdr>
        <w:top w:val="none" w:sz="96" w:space="31" w:color="FFFFFF" w:frame="1"/>
        <w:left w:val="none" w:sz="96" w:space="31" w:color="FFFFFF" w:frame="1"/>
        <w:bottom w:val="none" w:sz="96" w:space="31" w:color="FFFFFF" w:frame="1"/>
        <w:right w:val="none" w:sz="96" w:space="31" w:color="FFFFFF" w:frame="1"/>
        <w:bar w:val="none" w:sz="0" w:color="000000"/>
      </w:pBdr>
      <w:tabs>
        <w:tab w:val="right" w:pos="9020"/>
      </w:tabs>
      <w:spacing w:after="0" w:line="240" w:lineRule="auto"/>
    </w:pPr>
    <w:rPr>
      <w:rFonts w:ascii="Helvetica" w:eastAsia="Times New Roman" w:hAnsi="Arial Unicode MS" w:cs="Arial Unicode MS"/>
      <w:color w:val="000000"/>
      <w:sz w:val="24"/>
      <w:szCs w:val="24"/>
    </w:rPr>
  </w:style>
  <w:style w:type="character" w:styleId="PageNumber">
    <w:name w:val="page number"/>
    <w:basedOn w:val="DefaultParagraphFont"/>
    <w:uiPriority w:val="99"/>
    <w:semiHidden/>
    <w:unhideWhenUsed/>
    <w:rsid w:val="00C0081E"/>
  </w:style>
  <w:style w:type="character" w:styleId="CommentReference">
    <w:name w:val="annotation reference"/>
    <w:basedOn w:val="DefaultParagraphFont"/>
    <w:uiPriority w:val="99"/>
    <w:semiHidden/>
    <w:unhideWhenUsed/>
    <w:rsid w:val="00C0081E"/>
    <w:rPr>
      <w:sz w:val="18"/>
      <w:szCs w:val="18"/>
    </w:rPr>
  </w:style>
  <w:style w:type="paragraph" w:styleId="CommentText">
    <w:name w:val="annotation text"/>
    <w:basedOn w:val="Normal"/>
    <w:link w:val="CommentTextChar"/>
    <w:uiPriority w:val="99"/>
    <w:semiHidden/>
    <w:unhideWhenUsed/>
    <w:rsid w:val="00C0081E"/>
  </w:style>
  <w:style w:type="character" w:customStyle="1" w:styleId="CommentTextChar">
    <w:name w:val="Comment Text Char"/>
    <w:basedOn w:val="DefaultParagraphFont"/>
    <w:link w:val="CommentText"/>
    <w:uiPriority w:val="99"/>
    <w:semiHidden/>
    <w:rsid w:val="00C0081E"/>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0081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081E"/>
    <w:rPr>
      <w:rFonts w:ascii="Segoe UI" w:eastAsia="Calibri" w:hAnsi="Segoe UI" w:cs="Segoe UI"/>
      <w:sz w:val="18"/>
      <w:szCs w:val="18"/>
      <w:lang w:val="it-IT"/>
    </w:rPr>
  </w:style>
  <w:style w:type="paragraph" w:customStyle="1" w:styleId="Normal1">
    <w:name w:val="Normal1"/>
    <w:basedOn w:val="Normal"/>
    <w:rsid w:val="00F07B6A"/>
    <w:pPr>
      <w:spacing w:before="100" w:beforeAutospacing="1" w:after="100" w:afterAutospacing="1"/>
    </w:pPr>
    <w:rPr>
      <w:rFonts w:eastAsia="Times New Roman"/>
      <w:lang w:val="it-IT" w:eastAsia="it-IT"/>
    </w:rPr>
  </w:style>
  <w:style w:type="character" w:customStyle="1" w:styleId="normalchar">
    <w:name w:val="normal__char"/>
    <w:basedOn w:val="DefaultParagraphFont"/>
    <w:rsid w:val="00F07B6A"/>
  </w:style>
  <w:style w:type="character" w:customStyle="1" w:styleId="normal1char">
    <w:name w:val="normal1__char"/>
    <w:basedOn w:val="DefaultParagraphFont"/>
    <w:rsid w:val="00F07B6A"/>
  </w:style>
  <w:style w:type="paragraph" w:customStyle="1" w:styleId="normal10">
    <w:name w:val="normal1"/>
    <w:basedOn w:val="Normal"/>
    <w:rsid w:val="00F07B6A"/>
    <w:pPr>
      <w:spacing w:before="100" w:beforeAutospacing="1" w:after="100" w:afterAutospacing="1"/>
    </w:pPr>
    <w:rPr>
      <w:rFonts w:eastAsia="Times New Roman"/>
      <w:lang w:val="it-IT" w:eastAsia="it-IT"/>
    </w:rPr>
  </w:style>
  <w:style w:type="paragraph" w:styleId="FootnoteText">
    <w:name w:val="footnote text"/>
    <w:basedOn w:val="Normal"/>
    <w:link w:val="FootnoteTextChar"/>
    <w:uiPriority w:val="99"/>
    <w:semiHidden/>
    <w:unhideWhenUsed/>
    <w:rsid w:val="00F40A59"/>
    <w:pPr>
      <w:pBdr>
        <w:top w:val="nil"/>
        <w:left w:val="nil"/>
        <w:bottom w:val="nil"/>
        <w:right w:val="nil"/>
        <w:between w:val="nil"/>
      </w:pBdr>
    </w:pPr>
    <w:rPr>
      <w:rFonts w:eastAsia="Times New Roman"/>
      <w:color w:val="000000"/>
      <w:sz w:val="20"/>
      <w:szCs w:val="20"/>
    </w:rPr>
  </w:style>
  <w:style w:type="character" w:customStyle="1" w:styleId="FootnoteTextChar">
    <w:name w:val="Footnote Text Char"/>
    <w:basedOn w:val="DefaultParagraphFont"/>
    <w:link w:val="FootnoteText"/>
    <w:uiPriority w:val="99"/>
    <w:semiHidden/>
    <w:rsid w:val="00F40A59"/>
    <w:rPr>
      <w:rFonts w:ascii="Times New Roman" w:eastAsia="Times New Roman" w:hAnsi="Times New Roman" w:cs="Times New Roman"/>
      <w:color w:val="000000"/>
      <w:sz w:val="20"/>
      <w:szCs w:val="20"/>
    </w:rPr>
  </w:style>
  <w:style w:type="character" w:styleId="FootnoteReference">
    <w:name w:val="footnote reference"/>
    <w:basedOn w:val="DefaultParagraphFont"/>
    <w:uiPriority w:val="99"/>
    <w:unhideWhenUsed/>
    <w:rsid w:val="00F40A59"/>
    <w:rPr>
      <w:vertAlign w:val="superscript"/>
    </w:rPr>
  </w:style>
  <w:style w:type="paragraph" w:styleId="CommentSubject">
    <w:name w:val="annotation subject"/>
    <w:basedOn w:val="CommentText"/>
    <w:next w:val="CommentText"/>
    <w:link w:val="CommentSubjectChar"/>
    <w:uiPriority w:val="99"/>
    <w:semiHidden/>
    <w:unhideWhenUsed/>
    <w:rsid w:val="00846D8E"/>
    <w:rPr>
      <w:b/>
      <w:bCs/>
      <w:sz w:val="20"/>
      <w:szCs w:val="20"/>
    </w:rPr>
  </w:style>
  <w:style w:type="character" w:customStyle="1" w:styleId="CommentSubjectChar">
    <w:name w:val="Comment Subject Char"/>
    <w:basedOn w:val="CommentTextChar"/>
    <w:link w:val="CommentSubject"/>
    <w:uiPriority w:val="99"/>
    <w:semiHidden/>
    <w:rsid w:val="00846D8E"/>
    <w:rPr>
      <w:rFonts w:ascii="Times New Roman" w:hAnsi="Times New Roman" w:cs="Times New Roman"/>
      <w:b/>
      <w:bCs/>
      <w:sz w:val="20"/>
      <w:szCs w:val="20"/>
    </w:rPr>
  </w:style>
  <w:style w:type="character" w:customStyle="1" w:styleId="UnresolvedMention1">
    <w:name w:val="Unresolved Mention1"/>
    <w:basedOn w:val="DefaultParagraphFont"/>
    <w:uiPriority w:val="99"/>
    <w:semiHidden/>
    <w:unhideWhenUsed/>
    <w:rsid w:val="00000B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0179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hyperlink" Target="http://creativecommons.org/licenses/by-nc-nd/3.0/deed.en_US" TargetMode="External"/><Relationship Id="rId3" Type="http://schemas.openxmlformats.org/officeDocument/2006/relationships/settings" Target="settings.xml"/><Relationship Id="rId21" Type="http://schemas.openxmlformats.org/officeDocument/2006/relationships/footer" Target="footer4.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creativecommons.org/licenses/by-nc-nd/3.0/deed.en_US"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yperlink" Target="http://www.gendersexualityitaly.com/?p=4313"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www.gendersexualityitaly.com/" TargetMode="External"/><Relationship Id="rId14" Type="http://schemas.openxmlformats.org/officeDocument/2006/relationships/footer" Target="footer2.xml"/><Relationship Id="rId22"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208B7F08-2144-D24E-B5CD-62DB497BE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1577</Words>
  <Characters>8915</Characters>
  <Application>Microsoft Office Word</Application>
  <DocSecurity>0</DocSecurity>
  <Lines>133</Lines>
  <Paragraphs>12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10480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2020-04-23T10:41:00Z</dcterms:created>
  <dcterms:modified xsi:type="dcterms:W3CDTF">2020-04-23T10:41:00Z</dcterms:modified>
</cp:coreProperties>
</file>