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4F58D5" w14:textId="77777777" w:rsidR="00BE7DAA" w:rsidRDefault="00BE7DAA" w:rsidP="0063580E">
      <w:pPr>
        <w:widowControl w:val="0"/>
        <w:spacing w:before="120"/>
        <w:jc w:val="center"/>
        <w:rPr>
          <w:rFonts w:ascii="Times New Roman" w:hAnsi="Times New Roman" w:cs="Times New Roman"/>
          <w:b/>
          <w:bCs/>
          <w:sz w:val="32"/>
          <w:szCs w:val="32"/>
          <w:lang w:val="en-GB"/>
        </w:rPr>
      </w:pPr>
    </w:p>
    <w:p w14:paraId="5A7083CD" w14:textId="77777777" w:rsidR="00BE7DAA" w:rsidRDefault="00BE7DAA" w:rsidP="0063580E">
      <w:pPr>
        <w:widowControl w:val="0"/>
        <w:spacing w:before="120"/>
        <w:jc w:val="center"/>
        <w:rPr>
          <w:rFonts w:ascii="Times New Roman" w:hAnsi="Times New Roman" w:cs="Times New Roman"/>
          <w:b/>
          <w:bCs/>
          <w:sz w:val="32"/>
          <w:szCs w:val="32"/>
          <w:lang w:val="en-GB"/>
        </w:rPr>
      </w:pPr>
    </w:p>
    <w:p w14:paraId="41701631" w14:textId="77777777" w:rsidR="00BE7DAA" w:rsidRDefault="00BE7DAA" w:rsidP="0063580E">
      <w:pPr>
        <w:widowControl w:val="0"/>
        <w:spacing w:before="120"/>
        <w:jc w:val="center"/>
        <w:rPr>
          <w:rFonts w:ascii="Times New Roman" w:hAnsi="Times New Roman" w:cs="Times New Roman"/>
          <w:b/>
          <w:bCs/>
          <w:sz w:val="32"/>
          <w:szCs w:val="32"/>
          <w:lang w:val="en-GB"/>
        </w:rPr>
      </w:pPr>
    </w:p>
    <w:p w14:paraId="3FE4E61E" w14:textId="297D27E4" w:rsidR="0063580E" w:rsidRPr="0063580E" w:rsidRDefault="0063580E" w:rsidP="0063580E">
      <w:pPr>
        <w:widowControl w:val="0"/>
        <w:spacing w:before="120"/>
        <w:jc w:val="center"/>
        <w:rPr>
          <w:rFonts w:ascii="Times New Roman" w:hAnsi="Times New Roman" w:cs="Times New Roman"/>
          <w:b/>
          <w:bCs/>
          <w:sz w:val="28"/>
          <w:szCs w:val="28"/>
        </w:rPr>
      </w:pPr>
      <w:r w:rsidRPr="0063580E">
        <w:rPr>
          <w:rFonts w:ascii="Times New Roman" w:hAnsi="Times New Roman" w:cs="Times New Roman"/>
          <w:b/>
          <w:bCs/>
          <w:sz w:val="32"/>
          <w:szCs w:val="32"/>
          <w:lang w:val="en-GB"/>
        </w:rPr>
        <w:t>Greening Regional Trade Agreements and domestic regulation</w:t>
      </w:r>
    </w:p>
    <w:p w14:paraId="7DD19317" w14:textId="77777777" w:rsidR="0063580E" w:rsidRPr="0063580E" w:rsidRDefault="0063580E" w:rsidP="0063580E">
      <w:pPr>
        <w:autoSpaceDE w:val="0"/>
        <w:autoSpaceDN w:val="0"/>
        <w:adjustRightInd w:val="0"/>
        <w:rPr>
          <w:rFonts w:ascii="Íˆõ&lt;" w:hAnsi="Íˆõ&lt;" w:cs="Íˆõ&lt;"/>
          <w:i/>
          <w:iCs/>
          <w:color w:val="333666"/>
          <w:kern w:val="0"/>
          <w:sz w:val="20"/>
          <w:szCs w:val="20"/>
          <w:lang w:val="it-IT"/>
          <w14:ligatures w14:val="none"/>
        </w:rPr>
      </w:pPr>
    </w:p>
    <w:p w14:paraId="0DB6FBC1" w14:textId="77777777" w:rsidR="0063580E" w:rsidRPr="0063580E" w:rsidRDefault="0063580E" w:rsidP="0063580E">
      <w:pPr>
        <w:autoSpaceDE w:val="0"/>
        <w:autoSpaceDN w:val="0"/>
        <w:adjustRightInd w:val="0"/>
        <w:rPr>
          <w:rFonts w:ascii="Íˆõ&lt;" w:hAnsi="Íˆõ&lt;" w:cs="Íˆõ&lt;"/>
          <w:i/>
          <w:iCs/>
          <w:color w:val="000000" w:themeColor="text1"/>
          <w:kern w:val="0"/>
          <w:sz w:val="20"/>
          <w:szCs w:val="20"/>
          <w:lang w:val="it-IT"/>
          <w14:ligatures w14:val="none"/>
        </w:rPr>
      </w:pPr>
    </w:p>
    <w:p w14:paraId="2D7AFAA5" w14:textId="61EE4556" w:rsidR="0063580E" w:rsidRDefault="0063580E" w:rsidP="0063580E">
      <w:pPr>
        <w:autoSpaceDE w:val="0"/>
        <w:autoSpaceDN w:val="0"/>
        <w:adjustRightInd w:val="0"/>
        <w:jc w:val="center"/>
        <w:rPr>
          <w:rFonts w:ascii="Times New Roman" w:hAnsi="Times New Roman" w:cs="Times New Roman"/>
          <w:color w:val="000000" w:themeColor="text1"/>
          <w:kern w:val="0"/>
          <w:sz w:val="28"/>
          <w:szCs w:val="28"/>
          <w:lang w:val="en-GB"/>
          <w14:ligatures w14:val="none"/>
        </w:rPr>
      </w:pPr>
      <w:r w:rsidRPr="0063580E">
        <w:rPr>
          <w:rFonts w:ascii="Times New Roman" w:hAnsi="Times New Roman" w:cs="Times New Roman"/>
          <w:color w:val="000000" w:themeColor="text1"/>
          <w:kern w:val="0"/>
          <w:sz w:val="28"/>
          <w:szCs w:val="28"/>
          <w:lang w:val="en-GB"/>
          <w14:ligatures w14:val="none"/>
        </w:rPr>
        <w:t>Alfonso Carfora, Margherita Scoppola, Francesco Montagnani</w:t>
      </w:r>
    </w:p>
    <w:p w14:paraId="27E35ACC" w14:textId="0CE6D354" w:rsidR="0063580E" w:rsidRPr="0063580E" w:rsidRDefault="0063580E" w:rsidP="0063580E">
      <w:pPr>
        <w:autoSpaceDE w:val="0"/>
        <w:autoSpaceDN w:val="0"/>
        <w:adjustRightInd w:val="0"/>
        <w:jc w:val="center"/>
        <w:rPr>
          <w:rFonts w:ascii="Times New Roman" w:hAnsi="Times New Roman" w:cs="Times New Roman"/>
          <w:color w:val="000000" w:themeColor="text1"/>
          <w:kern w:val="0"/>
          <w:sz w:val="28"/>
          <w:szCs w:val="28"/>
          <w:lang w:val="en-GB"/>
          <w14:ligatures w14:val="none"/>
        </w:rPr>
      </w:pPr>
      <w:r>
        <w:rPr>
          <w:rFonts w:ascii="Times New Roman" w:hAnsi="Times New Roman" w:cs="Times New Roman"/>
          <w:color w:val="000000" w:themeColor="text1"/>
          <w:kern w:val="0"/>
          <w:sz w:val="28"/>
          <w:szCs w:val="28"/>
          <w:lang w:val="en-GB"/>
          <w14:ligatures w14:val="none"/>
        </w:rPr>
        <w:t>(Università di Macerata)</w:t>
      </w:r>
    </w:p>
    <w:p w14:paraId="37F8BC8F" w14:textId="77777777" w:rsidR="0063580E" w:rsidRDefault="0063580E" w:rsidP="0063580E">
      <w:pPr>
        <w:autoSpaceDE w:val="0"/>
        <w:autoSpaceDN w:val="0"/>
        <w:adjustRightInd w:val="0"/>
        <w:jc w:val="center"/>
        <w:rPr>
          <w:rFonts w:ascii="Times New Roman" w:hAnsi="Times New Roman" w:cs="Times New Roman"/>
          <w:b/>
          <w:bCs/>
          <w:color w:val="333666"/>
          <w:kern w:val="0"/>
          <w:lang w:val="en-GB"/>
          <w14:ligatures w14:val="none"/>
        </w:rPr>
      </w:pPr>
    </w:p>
    <w:p w14:paraId="6748F228" w14:textId="77777777" w:rsidR="0063580E" w:rsidRDefault="0063580E" w:rsidP="0063580E">
      <w:pPr>
        <w:autoSpaceDE w:val="0"/>
        <w:autoSpaceDN w:val="0"/>
        <w:adjustRightInd w:val="0"/>
        <w:rPr>
          <w:rFonts w:ascii="Times New Roman" w:hAnsi="Times New Roman" w:cs="Times New Roman"/>
          <w:b/>
          <w:bCs/>
          <w:color w:val="333666"/>
          <w:kern w:val="0"/>
          <w:lang w:val="en-GB"/>
          <w14:ligatures w14:val="none"/>
        </w:rPr>
      </w:pPr>
    </w:p>
    <w:p w14:paraId="23CC79A2" w14:textId="77777777" w:rsidR="0063580E" w:rsidRDefault="0063580E" w:rsidP="0063580E">
      <w:pPr>
        <w:autoSpaceDE w:val="0"/>
        <w:autoSpaceDN w:val="0"/>
        <w:adjustRightInd w:val="0"/>
        <w:rPr>
          <w:rFonts w:ascii="Times New Roman" w:hAnsi="Times New Roman" w:cs="Times New Roman"/>
          <w:b/>
          <w:bCs/>
          <w:color w:val="000000" w:themeColor="text1"/>
          <w:kern w:val="0"/>
          <w:lang w:val="en-GB"/>
          <w14:ligatures w14:val="none"/>
        </w:rPr>
      </w:pPr>
    </w:p>
    <w:p w14:paraId="50724DEC" w14:textId="77777777" w:rsidR="0063580E" w:rsidRDefault="0063580E" w:rsidP="0063580E">
      <w:pPr>
        <w:autoSpaceDE w:val="0"/>
        <w:autoSpaceDN w:val="0"/>
        <w:adjustRightInd w:val="0"/>
        <w:rPr>
          <w:rFonts w:ascii="Times New Roman" w:hAnsi="Times New Roman" w:cs="Times New Roman"/>
          <w:b/>
          <w:bCs/>
          <w:color w:val="000000" w:themeColor="text1"/>
          <w:kern w:val="0"/>
          <w:lang w:val="en-GB"/>
          <w14:ligatures w14:val="none"/>
        </w:rPr>
      </w:pPr>
    </w:p>
    <w:p w14:paraId="129425C3" w14:textId="7663098D"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b/>
          <w:bCs/>
          <w:color w:val="000000" w:themeColor="text1"/>
          <w:kern w:val="0"/>
          <w:lang w:val="en-GB"/>
          <w14:ligatures w14:val="none"/>
        </w:rPr>
        <w:t>Abstract:</w:t>
      </w:r>
      <w:r w:rsidRPr="0063580E">
        <w:rPr>
          <w:rFonts w:ascii="Times New Roman" w:hAnsi="Times New Roman" w:cs="Times New Roman"/>
          <w:color w:val="000000" w:themeColor="text1"/>
          <w:kern w:val="0"/>
          <w:lang w:val="en-GB"/>
          <w14:ligatures w14:val="none"/>
        </w:rPr>
        <w:t xml:space="preserve"> </w:t>
      </w:r>
      <w:r w:rsidRPr="0063580E">
        <w:rPr>
          <w:rFonts w:ascii="Times New Roman" w:hAnsi="Times New Roman" w:cs="Times New Roman"/>
          <w:color w:val="000000" w:themeColor="text1"/>
          <w:kern w:val="0"/>
          <w:lang w:val="en-GB"/>
          <w14:ligatures w14:val="none"/>
        </w:rPr>
        <w:t>This paper aims at assessing whether targeted environmental provisions included in</w:t>
      </w:r>
    </w:p>
    <w:p w14:paraId="58796A5A"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Regional Trade Agreements (RTAs) may influence the adoption of domestic</w:t>
      </w:r>
    </w:p>
    <w:p w14:paraId="44F1E798"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regulations. Drawing on recent database about RTAs environmental provisions, we</w:t>
      </w:r>
    </w:p>
    <w:p w14:paraId="0F4E9773"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build a panel of 23 years and 142 countries and estimate their effects on the Technical</w:t>
      </w:r>
    </w:p>
    <w:p w14:paraId="5514D976"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Barriers to Trade (TBT) notified to the WTO by countries related to fertilizers and</w:t>
      </w:r>
    </w:p>
    <w:p w14:paraId="1BE77709"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pesticides. Different empirical models are used, also to account for endogeneity mostly</w:t>
      </w:r>
    </w:p>
    <w:p w14:paraId="19CE4EB7"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due to unobserved heterogeneity, reverse causality and persistency. We consider also</w:t>
      </w:r>
    </w:p>
    <w:p w14:paraId="1AAE9009"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endogeneity arising because TBT of one country may be influenced by those of other</w:t>
      </w:r>
    </w:p>
    <w:p w14:paraId="35D85CAC"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countries and, hence, use a spatial autoregressive model as well. Our results show</w:t>
      </w:r>
    </w:p>
    <w:p w14:paraId="4867FD30"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that RTA provisions related to fertilizers and pesticides are effective in increasing the</w:t>
      </w:r>
    </w:p>
    <w:p w14:paraId="5868F7F2"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number of TBT on fertilizers and pesticides enacted by both developed and developing</w:t>
      </w:r>
    </w:p>
    <w:p w14:paraId="4DFCF321" w14:textId="77777777" w:rsidR="0063580E" w:rsidRPr="0063580E" w:rsidRDefault="0063580E" w:rsidP="0063580E">
      <w:pPr>
        <w:autoSpaceDE w:val="0"/>
        <w:autoSpaceDN w:val="0"/>
        <w:adjustRightInd w:val="0"/>
        <w:rPr>
          <w:rFonts w:ascii="Times New Roman" w:hAnsi="Times New Roman" w:cs="Times New Roman"/>
          <w:color w:val="000000" w:themeColor="text1"/>
          <w:kern w:val="0"/>
          <w:lang w:val="en-GB"/>
          <w14:ligatures w14:val="none"/>
        </w:rPr>
      </w:pPr>
      <w:r w:rsidRPr="0063580E">
        <w:rPr>
          <w:rFonts w:ascii="Times New Roman" w:hAnsi="Times New Roman" w:cs="Times New Roman"/>
          <w:color w:val="000000" w:themeColor="text1"/>
          <w:kern w:val="0"/>
          <w:lang w:val="en-GB"/>
          <w14:ligatures w14:val="none"/>
        </w:rPr>
        <w:t>countries. Further, findings show that only for the subsample of developed countries</w:t>
      </w:r>
    </w:p>
    <w:p w14:paraId="0157AFBF" w14:textId="7C080842" w:rsidR="0063580E" w:rsidRPr="0063580E" w:rsidRDefault="0063580E" w:rsidP="0063580E">
      <w:pPr>
        <w:rPr>
          <w:rFonts w:ascii="Times New Roman" w:hAnsi="Times New Roman" w:cs="Times New Roman"/>
          <w:b/>
          <w:bCs/>
          <w:color w:val="000000" w:themeColor="text1"/>
          <w:sz w:val="44"/>
          <w:szCs w:val="44"/>
          <w:lang w:val="en-GB"/>
        </w:rPr>
      </w:pPr>
      <w:r w:rsidRPr="0063580E">
        <w:rPr>
          <w:rFonts w:ascii="Times New Roman" w:hAnsi="Times New Roman" w:cs="Times New Roman"/>
          <w:color w:val="000000" w:themeColor="text1"/>
          <w:kern w:val="0"/>
          <w:lang w:val="en-GB"/>
          <w14:ligatures w14:val="none"/>
        </w:rPr>
        <w:t>the TBT in one country influence TBT in other countries.</w:t>
      </w:r>
    </w:p>
    <w:p w14:paraId="73D01ED4" w14:textId="77777777" w:rsidR="0063580E" w:rsidRPr="0063580E" w:rsidRDefault="0063580E">
      <w:pPr>
        <w:rPr>
          <w:rFonts w:ascii="Times New Roman" w:hAnsi="Times New Roman" w:cs="Times New Roman"/>
          <w:b/>
          <w:bCs/>
          <w:color w:val="000000" w:themeColor="text1"/>
          <w:sz w:val="44"/>
          <w:szCs w:val="44"/>
          <w:lang w:val="en-GB"/>
        </w:rPr>
      </w:pPr>
    </w:p>
    <w:p w14:paraId="16BB3E44" w14:textId="77777777" w:rsidR="0063580E" w:rsidRDefault="0063580E">
      <w:pPr>
        <w:rPr>
          <w:rFonts w:ascii="Times New Roman" w:hAnsi="Times New Roman" w:cs="Times New Roman"/>
          <w:sz w:val="28"/>
          <w:szCs w:val="28"/>
          <w:lang w:val="en-GB"/>
        </w:rPr>
      </w:pPr>
    </w:p>
    <w:p w14:paraId="5781CE96" w14:textId="77777777" w:rsidR="0063580E" w:rsidRDefault="0063580E">
      <w:pPr>
        <w:rPr>
          <w:rFonts w:ascii="Times New Roman" w:hAnsi="Times New Roman" w:cs="Times New Roman"/>
          <w:sz w:val="28"/>
          <w:szCs w:val="28"/>
          <w:lang w:val="en-GB"/>
        </w:rPr>
      </w:pPr>
    </w:p>
    <w:p w14:paraId="73397B99" w14:textId="77777777" w:rsidR="0063580E" w:rsidRDefault="0063580E">
      <w:pPr>
        <w:rPr>
          <w:rFonts w:ascii="Times New Roman" w:hAnsi="Times New Roman" w:cs="Times New Roman"/>
          <w:sz w:val="28"/>
          <w:szCs w:val="28"/>
          <w:lang w:val="en-GB"/>
        </w:rPr>
      </w:pPr>
    </w:p>
    <w:p w14:paraId="76F5382E" w14:textId="100981BB" w:rsidR="0063580E" w:rsidRDefault="0063580E">
      <w:pPr>
        <w:rPr>
          <w:rFonts w:ascii="Times New Roman" w:hAnsi="Times New Roman" w:cs="Times New Roman"/>
          <w:sz w:val="28"/>
          <w:szCs w:val="28"/>
          <w:lang w:val="en-GB"/>
        </w:rPr>
      </w:pPr>
      <w:r>
        <w:rPr>
          <w:rFonts w:ascii="Times New Roman" w:hAnsi="Times New Roman" w:cs="Times New Roman"/>
          <w:sz w:val="28"/>
          <w:szCs w:val="28"/>
          <w:lang w:val="en-GB"/>
        </w:rPr>
        <w:t xml:space="preserve">Paper accepted for publication by the </w:t>
      </w:r>
      <w:r w:rsidRPr="0063580E">
        <w:rPr>
          <w:rFonts w:ascii="Times New Roman" w:hAnsi="Times New Roman" w:cs="Times New Roman"/>
          <w:i/>
          <w:iCs/>
          <w:sz w:val="28"/>
          <w:szCs w:val="28"/>
          <w:lang w:val="en-GB"/>
        </w:rPr>
        <w:t>Review of World Economics</w:t>
      </w:r>
      <w:r>
        <w:rPr>
          <w:rFonts w:ascii="Times New Roman" w:hAnsi="Times New Roman" w:cs="Times New Roman"/>
          <w:sz w:val="28"/>
          <w:szCs w:val="28"/>
          <w:lang w:val="en-GB"/>
        </w:rPr>
        <w:t xml:space="preserve"> in March 2026</w:t>
      </w:r>
    </w:p>
    <w:p w14:paraId="6F1B80E6" w14:textId="77777777" w:rsidR="0063580E" w:rsidRDefault="0063580E">
      <w:pPr>
        <w:rPr>
          <w:rFonts w:ascii="Times New Roman" w:hAnsi="Times New Roman" w:cs="Times New Roman"/>
          <w:sz w:val="28"/>
          <w:szCs w:val="28"/>
          <w:lang w:val="en-GB"/>
        </w:rPr>
      </w:pPr>
    </w:p>
    <w:p w14:paraId="0D5B2AFE" w14:textId="77777777" w:rsidR="0063580E" w:rsidRDefault="0063580E">
      <w:pPr>
        <w:rPr>
          <w:rFonts w:ascii="Times New Roman" w:hAnsi="Times New Roman" w:cs="Times New Roman"/>
          <w:sz w:val="28"/>
          <w:szCs w:val="28"/>
          <w:lang w:val="en-GB"/>
        </w:rPr>
      </w:pPr>
    </w:p>
    <w:p w14:paraId="28756DA7" w14:textId="77777777" w:rsidR="0063580E" w:rsidRDefault="0063580E">
      <w:pPr>
        <w:rPr>
          <w:rFonts w:ascii="Times New Roman" w:hAnsi="Times New Roman" w:cs="Times New Roman"/>
          <w:sz w:val="28"/>
          <w:szCs w:val="28"/>
          <w:lang w:val="en-GB"/>
        </w:rPr>
      </w:pPr>
    </w:p>
    <w:p w14:paraId="5E641231" w14:textId="77777777" w:rsidR="0063580E" w:rsidRDefault="0063580E">
      <w:pPr>
        <w:rPr>
          <w:rFonts w:ascii="Times New Roman" w:hAnsi="Times New Roman" w:cs="Times New Roman"/>
          <w:sz w:val="28"/>
          <w:szCs w:val="28"/>
          <w:lang w:val="en-GB"/>
        </w:rPr>
      </w:pPr>
    </w:p>
    <w:p w14:paraId="5F9FB197" w14:textId="77777777" w:rsidR="0063580E" w:rsidRDefault="0063580E">
      <w:pPr>
        <w:rPr>
          <w:rFonts w:ascii="Times New Roman" w:hAnsi="Times New Roman" w:cs="Times New Roman"/>
          <w:sz w:val="28"/>
          <w:szCs w:val="28"/>
          <w:lang w:val="en-GB"/>
        </w:rPr>
      </w:pPr>
    </w:p>
    <w:p w14:paraId="455AFC25" w14:textId="77777777" w:rsidR="0063580E" w:rsidRDefault="0063580E">
      <w:pPr>
        <w:rPr>
          <w:rFonts w:ascii="Times New Roman" w:hAnsi="Times New Roman" w:cs="Times New Roman"/>
          <w:sz w:val="28"/>
          <w:szCs w:val="28"/>
          <w:lang w:val="en-GB"/>
        </w:rPr>
      </w:pPr>
    </w:p>
    <w:p w14:paraId="506E26C2" w14:textId="77777777" w:rsidR="0063580E" w:rsidRDefault="0063580E">
      <w:pPr>
        <w:rPr>
          <w:rFonts w:ascii="Times New Roman" w:hAnsi="Times New Roman" w:cs="Times New Roman"/>
          <w:sz w:val="28"/>
          <w:szCs w:val="28"/>
          <w:lang w:val="en-GB"/>
        </w:rPr>
      </w:pPr>
    </w:p>
    <w:p w14:paraId="5DFA385C" w14:textId="77777777" w:rsidR="0063580E" w:rsidRDefault="0063580E">
      <w:pPr>
        <w:rPr>
          <w:rFonts w:ascii="Times New Roman" w:hAnsi="Times New Roman" w:cs="Times New Roman"/>
          <w:b/>
          <w:bCs/>
          <w:sz w:val="28"/>
          <w:szCs w:val="28"/>
          <w:lang w:val="en-GB"/>
        </w:rPr>
      </w:pPr>
    </w:p>
    <w:p w14:paraId="371CCFFC" w14:textId="77777777" w:rsidR="0063580E" w:rsidRDefault="0063580E">
      <w:pPr>
        <w:rPr>
          <w:rFonts w:ascii="Times New Roman" w:hAnsi="Times New Roman" w:cs="Times New Roman"/>
          <w:b/>
          <w:bCs/>
          <w:sz w:val="28"/>
          <w:szCs w:val="28"/>
          <w:lang w:val="en-GB"/>
        </w:rPr>
      </w:pPr>
    </w:p>
    <w:p w14:paraId="7894F649" w14:textId="77777777" w:rsidR="0063580E" w:rsidRDefault="0063580E">
      <w:pPr>
        <w:rPr>
          <w:rFonts w:ascii="Times New Roman" w:hAnsi="Times New Roman" w:cs="Times New Roman"/>
          <w:b/>
          <w:bCs/>
          <w:sz w:val="28"/>
          <w:szCs w:val="28"/>
          <w:lang w:val="en-GB"/>
        </w:rPr>
      </w:pPr>
    </w:p>
    <w:p w14:paraId="2DE0657B" w14:textId="77777777" w:rsidR="0063580E" w:rsidRDefault="0063580E">
      <w:pPr>
        <w:rPr>
          <w:rFonts w:ascii="Times New Roman" w:hAnsi="Times New Roman" w:cs="Times New Roman"/>
          <w:b/>
          <w:bCs/>
          <w:sz w:val="28"/>
          <w:szCs w:val="28"/>
          <w:lang w:val="en-GB"/>
        </w:rPr>
      </w:pPr>
    </w:p>
    <w:p w14:paraId="216AA3D5" w14:textId="77777777" w:rsidR="0063580E" w:rsidRDefault="0063580E">
      <w:pPr>
        <w:rPr>
          <w:rFonts w:ascii="Times New Roman" w:hAnsi="Times New Roman" w:cs="Times New Roman"/>
          <w:b/>
          <w:bCs/>
          <w:sz w:val="28"/>
          <w:szCs w:val="28"/>
          <w:lang w:val="en-GB"/>
        </w:rPr>
      </w:pPr>
    </w:p>
    <w:p w14:paraId="316BBBC1" w14:textId="77777777" w:rsidR="0063580E" w:rsidRDefault="0063580E">
      <w:pPr>
        <w:rPr>
          <w:rFonts w:ascii="Times New Roman" w:hAnsi="Times New Roman" w:cs="Times New Roman"/>
          <w:b/>
          <w:bCs/>
          <w:sz w:val="28"/>
          <w:szCs w:val="28"/>
          <w:lang w:val="en-GB"/>
        </w:rPr>
      </w:pPr>
    </w:p>
    <w:p w14:paraId="1DD23261" w14:textId="131BED4F" w:rsidR="0063580E" w:rsidRDefault="0063580E">
      <w:pPr>
        <w:rPr>
          <w:rFonts w:ascii="Times New Roman" w:hAnsi="Times New Roman" w:cs="Times New Roman"/>
          <w:sz w:val="28"/>
          <w:szCs w:val="28"/>
          <w:lang w:val="en-GB"/>
        </w:rPr>
      </w:pPr>
      <w:r w:rsidRPr="0063580E">
        <w:rPr>
          <w:rFonts w:ascii="Times New Roman" w:hAnsi="Times New Roman" w:cs="Times New Roman"/>
          <w:b/>
          <w:bCs/>
          <w:sz w:val="28"/>
          <w:szCs w:val="28"/>
          <w:lang w:val="en-GB"/>
        </w:rPr>
        <w:t>Acknowledgements:</w:t>
      </w:r>
      <w:r>
        <w:rPr>
          <w:rFonts w:ascii="Times New Roman" w:hAnsi="Times New Roman" w:cs="Times New Roman"/>
          <w:sz w:val="28"/>
          <w:szCs w:val="28"/>
          <w:lang w:val="en-GB"/>
        </w:rPr>
        <w:t xml:space="preserve"> </w:t>
      </w:r>
      <w:r>
        <w:rPr>
          <w:rFonts w:ascii="Aptos" w:hAnsi="Aptos"/>
          <w:i/>
          <w:iCs/>
          <w:color w:val="000000"/>
        </w:rPr>
        <w:t xml:space="preserve">Financial support from the PRIN Project Assessing and </w:t>
      </w:r>
      <w:proofErr w:type="spellStart"/>
      <w:r>
        <w:rPr>
          <w:rFonts w:ascii="Aptos" w:hAnsi="Aptos"/>
          <w:i/>
          <w:iCs/>
          <w:color w:val="000000"/>
        </w:rPr>
        <w:t>moDelling</w:t>
      </w:r>
      <w:proofErr w:type="spellEnd"/>
      <w:r>
        <w:rPr>
          <w:rFonts w:ascii="Aptos" w:hAnsi="Aptos"/>
          <w:i/>
          <w:iCs/>
          <w:color w:val="000000"/>
        </w:rPr>
        <w:t xml:space="preserve"> the </w:t>
      </w:r>
      <w:proofErr w:type="spellStart"/>
      <w:r>
        <w:rPr>
          <w:rFonts w:ascii="Aptos" w:hAnsi="Aptos"/>
          <w:i/>
          <w:iCs/>
          <w:color w:val="000000"/>
        </w:rPr>
        <w:t>trAde</w:t>
      </w:r>
      <w:proofErr w:type="spellEnd"/>
      <w:r>
        <w:rPr>
          <w:rFonts w:ascii="Aptos" w:hAnsi="Aptos"/>
          <w:i/>
          <w:iCs/>
          <w:color w:val="000000"/>
        </w:rPr>
        <w:t xml:space="preserve"> and environmental Policy </w:t>
      </w:r>
      <w:proofErr w:type="spellStart"/>
      <w:r>
        <w:rPr>
          <w:rFonts w:ascii="Aptos" w:hAnsi="Aptos"/>
          <w:i/>
          <w:iCs/>
          <w:color w:val="000000"/>
        </w:rPr>
        <w:t>impacT</w:t>
      </w:r>
      <w:proofErr w:type="spellEnd"/>
      <w:r>
        <w:rPr>
          <w:rFonts w:ascii="Aptos" w:hAnsi="Aptos"/>
          <w:i/>
          <w:iCs/>
          <w:color w:val="000000"/>
        </w:rPr>
        <w:t xml:space="preserve"> in Agriculture (ADAPTA) (No: 20224TFJ5M) is gratefully acknowledged.</w:t>
      </w:r>
      <w:r>
        <w:rPr>
          <w:rFonts w:ascii="Times New Roman" w:hAnsi="Times New Roman" w:cs="Times New Roman"/>
          <w:sz w:val="28"/>
          <w:szCs w:val="28"/>
          <w:lang w:val="en-GB"/>
        </w:rPr>
        <w:t xml:space="preserve"> </w:t>
      </w:r>
    </w:p>
    <w:p w14:paraId="5E4611BA" w14:textId="77777777" w:rsidR="0063580E" w:rsidRDefault="0063580E">
      <w:pPr>
        <w:rPr>
          <w:rFonts w:ascii="Times New Roman" w:hAnsi="Times New Roman" w:cs="Times New Roman"/>
          <w:sz w:val="28"/>
          <w:szCs w:val="28"/>
          <w:lang w:val="en-GB"/>
        </w:rPr>
      </w:pPr>
    </w:p>
    <w:p w14:paraId="74556BA6" w14:textId="77777777" w:rsidR="0063580E" w:rsidRDefault="0063580E">
      <w:pPr>
        <w:rPr>
          <w:rFonts w:ascii="Times New Roman" w:hAnsi="Times New Roman" w:cs="Times New Roman"/>
          <w:sz w:val="28"/>
          <w:szCs w:val="28"/>
          <w:lang w:val="en-GB"/>
        </w:rPr>
      </w:pPr>
    </w:p>
    <w:p w14:paraId="50ABECFF" w14:textId="77777777" w:rsidR="0063580E" w:rsidRDefault="0063580E">
      <w:pPr>
        <w:rPr>
          <w:rFonts w:ascii="Times New Roman" w:hAnsi="Times New Roman" w:cs="Times New Roman"/>
          <w:sz w:val="28"/>
          <w:szCs w:val="28"/>
          <w:lang w:val="en-GB"/>
        </w:rPr>
      </w:pPr>
    </w:p>
    <w:p w14:paraId="6A2D0B84" w14:textId="5D1FABE1" w:rsidR="0063580E" w:rsidRDefault="0063580E">
      <w:pPr>
        <w:rPr>
          <w:rFonts w:ascii="Times New Roman" w:hAnsi="Times New Roman" w:cs="Times New Roman"/>
          <w:sz w:val="28"/>
          <w:szCs w:val="28"/>
          <w:lang w:val="en-GB"/>
        </w:rPr>
      </w:pPr>
      <w:r>
        <w:rPr>
          <w:rFonts w:ascii="Times New Roman" w:hAnsi="Times New Roman" w:cs="Times New Roman"/>
          <w:sz w:val="28"/>
          <w:szCs w:val="28"/>
          <w:lang w:val="en-GB"/>
        </w:rPr>
        <w:br w:type="page"/>
      </w:r>
    </w:p>
    <w:p w14:paraId="2311CA48" w14:textId="77777777" w:rsidR="0063580E" w:rsidRPr="0063580E" w:rsidRDefault="0063580E">
      <w:pPr>
        <w:rPr>
          <w:rFonts w:ascii="Times New Roman" w:hAnsi="Times New Roman" w:cs="Times New Roman"/>
          <w:sz w:val="28"/>
          <w:szCs w:val="28"/>
          <w:lang w:val="en-GB"/>
        </w:rPr>
      </w:pPr>
    </w:p>
    <w:p w14:paraId="450B0D6A" w14:textId="23514F30" w:rsidR="00516B69" w:rsidRPr="00765279" w:rsidRDefault="00000000" w:rsidP="004C02FB">
      <w:pPr>
        <w:widowControl w:val="0"/>
        <w:spacing w:before="120"/>
        <w:jc w:val="center"/>
        <w:rPr>
          <w:rFonts w:ascii="Times New Roman" w:hAnsi="Times New Roman" w:cs="Times New Roman"/>
          <w:b/>
          <w:bCs/>
        </w:rPr>
      </w:pPr>
      <w:r w:rsidRPr="00765279">
        <w:rPr>
          <w:rFonts w:ascii="Times New Roman" w:hAnsi="Times New Roman" w:cs="Times New Roman"/>
          <w:b/>
          <w:bCs/>
          <w:sz w:val="28"/>
          <w:szCs w:val="28"/>
          <w:lang w:val="en-GB"/>
        </w:rPr>
        <w:t>Greening Regional Trade Agreements and domestic regulation</w:t>
      </w:r>
    </w:p>
    <w:p w14:paraId="30D37D76" w14:textId="548DB84D" w:rsidR="00F92711" w:rsidRPr="00765279" w:rsidRDefault="00F92711">
      <w:pPr>
        <w:rPr>
          <w:rFonts w:ascii="Times New Roman" w:hAnsi="Times New Roman" w:cs="Times New Roman"/>
        </w:rPr>
      </w:pPr>
    </w:p>
    <w:p w14:paraId="47B34048" w14:textId="77777777" w:rsidR="00516B69" w:rsidRPr="00765279" w:rsidRDefault="00516B69" w:rsidP="00804F9D">
      <w:pPr>
        <w:spacing w:before="120" w:line="276" w:lineRule="auto"/>
        <w:ind w:right="-1"/>
        <w:jc w:val="both"/>
        <w:rPr>
          <w:rFonts w:ascii="Times New Roman" w:hAnsi="Times New Roman" w:cs="Times New Roman"/>
          <w:b/>
          <w:bCs/>
        </w:rPr>
      </w:pPr>
    </w:p>
    <w:p w14:paraId="486A52C7" w14:textId="01A9E49B" w:rsidR="00FE1590" w:rsidRPr="00765279" w:rsidRDefault="00000000" w:rsidP="00804F9D">
      <w:pPr>
        <w:pStyle w:val="Paragrafoelenco"/>
        <w:numPr>
          <w:ilvl w:val="0"/>
          <w:numId w:val="3"/>
        </w:numPr>
        <w:spacing w:before="120" w:line="276" w:lineRule="auto"/>
        <w:ind w:right="-1"/>
        <w:jc w:val="both"/>
        <w:rPr>
          <w:rFonts w:ascii="Times New Roman" w:hAnsi="Times New Roman" w:cs="Times New Roman"/>
          <w:lang w:val="en-GB"/>
        </w:rPr>
      </w:pPr>
      <w:r w:rsidRPr="00765279">
        <w:rPr>
          <w:rFonts w:ascii="Times New Roman" w:hAnsi="Times New Roman" w:cs="Times New Roman"/>
          <w:b/>
          <w:bCs/>
        </w:rPr>
        <w:t>Introduction</w:t>
      </w:r>
    </w:p>
    <w:p w14:paraId="5A40DEDB" w14:textId="77777777" w:rsidR="00740BA5" w:rsidRPr="00765279" w:rsidRDefault="00740BA5" w:rsidP="00804F9D">
      <w:pPr>
        <w:autoSpaceDE w:val="0"/>
        <w:autoSpaceDN w:val="0"/>
        <w:adjustRightInd w:val="0"/>
        <w:spacing w:before="120" w:line="276" w:lineRule="auto"/>
        <w:ind w:right="-1" w:firstLine="142"/>
        <w:jc w:val="both"/>
        <w:rPr>
          <w:rFonts w:ascii="Times New Roman" w:hAnsi="Times New Roman" w:cs="Times New Roman"/>
        </w:rPr>
      </w:pPr>
    </w:p>
    <w:p w14:paraId="32136982" w14:textId="028F66DC" w:rsidR="00740BA5" w:rsidRPr="00765279" w:rsidRDefault="00740BA5" w:rsidP="005549B3">
      <w:pPr>
        <w:pStyle w:val="NormaleWeb"/>
        <w:spacing w:before="120" w:beforeAutospacing="0" w:after="0" w:afterAutospacing="0" w:line="276" w:lineRule="auto"/>
        <w:ind w:firstLine="284"/>
        <w:jc w:val="both"/>
        <w:rPr>
          <w:lang w:val="en-GB"/>
        </w:rPr>
      </w:pPr>
      <w:r w:rsidRPr="00765279">
        <w:rPr>
          <w:lang w:val="en-GB"/>
        </w:rPr>
        <w:t>Recent Regional Trade Agreements (RTAs) have evolved significantly beyond their original focus on tariff liberalization, now encompassing a wide range of policy areas, including competition, public procurement, investment, intellectual property rights, environmental protection, and labo</w:t>
      </w:r>
      <w:r w:rsidR="009410E8" w:rsidRPr="00765279">
        <w:rPr>
          <w:lang w:val="en-GB"/>
        </w:rPr>
        <w:t>u</w:t>
      </w:r>
      <w:r w:rsidRPr="00765279">
        <w:rPr>
          <w:lang w:val="en-GB"/>
        </w:rPr>
        <w:t>r standards. Since the 1990s, the inclusion of environmental provisions in RTAs has steadily increased</w:t>
      </w:r>
      <w:r w:rsidR="006C370A" w:rsidRPr="00765279">
        <w:rPr>
          <w:lang w:val="en-GB"/>
        </w:rPr>
        <w:t xml:space="preserve">, </w:t>
      </w:r>
      <w:r w:rsidRPr="00765279">
        <w:rPr>
          <w:lang w:val="en-GB"/>
        </w:rPr>
        <w:t>particularly in agreements between developed and developing countries. While early RTAs primarily featured broad and generic commitments to environmental protection, the past two decades have seen the incorporation of more specific provisions addressing concrete issues such as fisheries, biodiversity, greenhouse gas emissions, and deforestation (Monteiro, Trachtman, 2020).</w:t>
      </w:r>
    </w:p>
    <w:p w14:paraId="2DC370C7" w14:textId="2B2BA771" w:rsidR="00740BA5" w:rsidRPr="00765279" w:rsidRDefault="00740BA5" w:rsidP="005549B3">
      <w:pPr>
        <w:pStyle w:val="NormaleWeb"/>
        <w:spacing w:before="120" w:beforeAutospacing="0" w:after="0" w:afterAutospacing="0" w:line="276" w:lineRule="auto"/>
        <w:ind w:firstLine="284"/>
        <w:jc w:val="both"/>
        <w:rPr>
          <w:lang w:val="en-GB"/>
        </w:rPr>
      </w:pPr>
      <w:r w:rsidRPr="00765279">
        <w:rPr>
          <w:lang w:val="en-GB"/>
        </w:rPr>
        <w:t xml:space="preserve">The growing "greening" of RTAs is often attributed to strong environmental advocacy and public support in developed countries. Civil society organizations and Non-Governmental Organizations (NGOs) have voiced concerns that RTAs contribute to environmental degradation, particularly through the intensification of agricultural trade. </w:t>
      </w:r>
      <w:r w:rsidR="00793133">
        <w:rPr>
          <w:rStyle w:val="Rimandonotaapidipagina"/>
        </w:rPr>
        <w:footnoteReference w:id="2"/>
      </w:r>
      <w:r w:rsidR="00793133" w:rsidRPr="00E94301">
        <w:rPr>
          <w:lang w:val="en-US"/>
        </w:rPr>
        <w:t xml:space="preserve"> </w:t>
      </w:r>
      <w:r w:rsidRPr="00765279">
        <w:rPr>
          <w:lang w:val="en-GB"/>
        </w:rPr>
        <w:t xml:space="preserve">Empirical studies lend support to this concern. For example, Longo and York (2008) find a significant correlation between export-oriented agricultural production and increased use of fertilizers and pesticides. </w:t>
      </w:r>
      <w:proofErr w:type="spellStart"/>
      <w:r w:rsidRPr="00765279">
        <w:rPr>
          <w:lang w:val="en-GB"/>
        </w:rPr>
        <w:t>Pendrill</w:t>
      </w:r>
      <w:proofErr w:type="spellEnd"/>
      <w:r w:rsidRPr="00765279">
        <w:rPr>
          <w:lang w:val="en-GB"/>
        </w:rPr>
        <w:t xml:space="preserve"> et al. (2019) estimate that 29% to 39% of deforestation-related emissions are linked to agricultural trade, while </w:t>
      </w:r>
      <w:proofErr w:type="spellStart"/>
      <w:r w:rsidRPr="00765279">
        <w:rPr>
          <w:lang w:val="en-GB"/>
        </w:rPr>
        <w:t>Abman</w:t>
      </w:r>
      <w:proofErr w:type="spellEnd"/>
      <w:r w:rsidRPr="00765279">
        <w:rPr>
          <w:lang w:val="en-GB"/>
        </w:rPr>
        <w:t xml:space="preserve"> and Lundberg (2020) document a notable rise in deforestation in the three years following the implementation of an RTA.</w:t>
      </w:r>
    </w:p>
    <w:p w14:paraId="3DCA3FE2" w14:textId="067B9733" w:rsidR="00740BA5" w:rsidRPr="00765279" w:rsidRDefault="00740BA5" w:rsidP="005549B3">
      <w:pPr>
        <w:pStyle w:val="NormaleWeb"/>
        <w:spacing w:before="120" w:beforeAutospacing="0" w:after="0" w:afterAutospacing="0" w:line="276" w:lineRule="auto"/>
        <w:ind w:firstLine="284"/>
        <w:jc w:val="both"/>
        <w:rPr>
          <w:lang w:val="en-GB"/>
        </w:rPr>
      </w:pPr>
      <w:r w:rsidRPr="00765279">
        <w:rPr>
          <w:lang w:val="en-GB"/>
        </w:rPr>
        <w:t>In this context, assessing whether environmental provisions in RTAs can effectively mitigate the negative environmental externalities associated with trade liberalization becomes highly relevant. A growing body of empirical literature has examined the impact of such provisions on various environmental indicators, including CO₂ emissions (Baghdadi et al., 2013; Martinez-Zarzoso et al., 2023; Sorgho, Tarakan, 2022; Brandi, Schwab, 2024), air pollution (Martinez-Zarzoso, Oueslati, 2016), deforestation (</w:t>
      </w:r>
      <w:proofErr w:type="spellStart"/>
      <w:r w:rsidRPr="00765279">
        <w:rPr>
          <w:lang w:val="en-GB"/>
        </w:rPr>
        <w:t>Abman</w:t>
      </w:r>
      <w:proofErr w:type="spellEnd"/>
      <w:r w:rsidRPr="00765279">
        <w:rPr>
          <w:lang w:val="en-GB"/>
        </w:rPr>
        <w:t xml:space="preserve"> et al., 2024), overfishing (</w:t>
      </w:r>
      <w:proofErr w:type="spellStart"/>
      <w:r w:rsidRPr="00765279">
        <w:rPr>
          <w:lang w:val="en-GB"/>
        </w:rPr>
        <w:t>Bayramoglu</w:t>
      </w:r>
      <w:proofErr w:type="spellEnd"/>
      <w:r w:rsidRPr="00765279">
        <w:rPr>
          <w:lang w:val="en-GB"/>
        </w:rPr>
        <w:t xml:space="preserve"> et al., 2023), biodiversity loss (</w:t>
      </w:r>
      <w:proofErr w:type="spellStart"/>
      <w:r w:rsidRPr="00765279">
        <w:rPr>
          <w:lang w:val="en-GB"/>
        </w:rPr>
        <w:t>Gozlan</w:t>
      </w:r>
      <w:proofErr w:type="spellEnd"/>
      <w:r w:rsidRPr="00765279">
        <w:rPr>
          <w:lang w:val="en-GB"/>
        </w:rPr>
        <w:t xml:space="preserve">, Lochard, 2024), and pollution-intensive ("dirty") exports (Brandi et al., 2020). Most of these studies conclude that environmental provisions in RTAs can yield positive environmental outcomes. However, these effects are often limited to agreements containing specific and enforceable provisions, as opposed to those with only generic environmental language (Sorgho, Tarakan, 2022; </w:t>
      </w:r>
      <w:proofErr w:type="spellStart"/>
      <w:r w:rsidRPr="00765279">
        <w:rPr>
          <w:lang w:val="en-GB"/>
        </w:rPr>
        <w:t>Abman</w:t>
      </w:r>
      <w:proofErr w:type="spellEnd"/>
      <w:r w:rsidRPr="00765279">
        <w:rPr>
          <w:lang w:val="en-GB"/>
        </w:rPr>
        <w:t xml:space="preserve"> et al., 2024).</w:t>
      </w:r>
    </w:p>
    <w:p w14:paraId="67B4B98F" w14:textId="5F841E63" w:rsidR="00740BA5" w:rsidRPr="00765279" w:rsidRDefault="00740BA5" w:rsidP="005549B3">
      <w:pPr>
        <w:pStyle w:val="NormaleWeb"/>
        <w:spacing w:before="120" w:beforeAutospacing="0" w:after="0" w:afterAutospacing="0" w:line="276" w:lineRule="auto"/>
        <w:ind w:firstLine="284"/>
        <w:jc w:val="both"/>
        <w:rPr>
          <w:lang w:val="en-GB"/>
        </w:rPr>
      </w:pPr>
      <w:r w:rsidRPr="00765279">
        <w:rPr>
          <w:lang w:val="en-GB"/>
        </w:rPr>
        <w:t>Notably, the effectiveness of these environmental provisions often hinges on their translation into domestic policy. For example, RTAs signed by the European Union frequently include pesticide-related provisions that oblige parties to ratify or implement international environmental agreements or to maintain a certain level of environmental protection (</w:t>
      </w:r>
      <w:proofErr w:type="spellStart"/>
      <w:r w:rsidRPr="00765279">
        <w:rPr>
          <w:lang w:val="en-GB"/>
        </w:rPr>
        <w:t>Velut</w:t>
      </w:r>
      <w:proofErr w:type="spellEnd"/>
      <w:r w:rsidRPr="00765279">
        <w:rPr>
          <w:lang w:val="en-GB"/>
        </w:rPr>
        <w:t xml:space="preserve"> et al., 2022). Fulfilling </w:t>
      </w:r>
      <w:r w:rsidRPr="00765279">
        <w:rPr>
          <w:lang w:val="en-GB"/>
        </w:rPr>
        <w:lastRenderedPageBreak/>
        <w:t>such commitments typically requires enacting or amending domestic legislation. Despite this, there remains limited empirical evidence on the domestic implementation of international environmental commitments. One notable exception is Brandi et al. (2019), who find that RTA</w:t>
      </w:r>
      <w:r w:rsidR="009410E8" w:rsidRPr="00765279">
        <w:rPr>
          <w:lang w:val="en-GB"/>
        </w:rPr>
        <w:t>s</w:t>
      </w:r>
      <w:r w:rsidRPr="00765279">
        <w:rPr>
          <w:lang w:val="en-GB"/>
        </w:rPr>
        <w:t xml:space="preserve"> environmental provisions tend to positively influence the development of domestic environmental legislation, with the effect being more pronounced in developing countries.</w:t>
      </w:r>
    </w:p>
    <w:p w14:paraId="48DEDB71" w14:textId="4161EA60" w:rsidR="00BD707B" w:rsidRPr="00765279" w:rsidRDefault="00D644BF" w:rsidP="005549B3">
      <w:pPr>
        <w:pStyle w:val="NormaleWeb"/>
        <w:spacing w:before="120" w:beforeAutospacing="0" w:after="0" w:afterAutospacing="0" w:line="276" w:lineRule="auto"/>
        <w:ind w:firstLine="284"/>
        <w:jc w:val="both"/>
        <w:rPr>
          <w:lang w:val="en-GB"/>
        </w:rPr>
      </w:pPr>
      <w:r w:rsidRPr="00765279">
        <w:rPr>
          <w:lang w:val="en-GB"/>
        </w:rPr>
        <w:t xml:space="preserve">This paper aims to provide empirical evidence on the impact of environmental provisions related to fertilizers and pesticides that are included in RTAs. As noted above, the implications of RTAs for agrochemical use have become a salient issue in public </w:t>
      </w:r>
      <w:r w:rsidR="005B5C68">
        <w:rPr>
          <w:lang w:val="en-GB"/>
        </w:rPr>
        <w:t>debate</w:t>
      </w:r>
      <w:r w:rsidRPr="00765279">
        <w:rPr>
          <w:lang w:val="en-GB"/>
        </w:rPr>
        <w:t>, particularly when trading partners have divergent environmental standards. For example, in the case of the EU-Mercosur agreement, a major concern is that increased imports of low-cost agricultural products from Mercosur countries—where environmental standards are generally weaker—could lead to intensified use of agrochemicals, thereby raising risks to food safety and water quality (</w:t>
      </w:r>
      <w:proofErr w:type="spellStart"/>
      <w:r w:rsidRPr="00765279">
        <w:rPr>
          <w:lang w:val="en-GB"/>
        </w:rPr>
        <w:t>Buczinski</w:t>
      </w:r>
      <w:proofErr w:type="spellEnd"/>
      <w:r w:rsidRPr="00765279">
        <w:rPr>
          <w:lang w:val="en-GB"/>
        </w:rPr>
        <w:t xml:space="preserve"> et al., 2023).</w:t>
      </w:r>
      <w:r w:rsidR="00334066" w:rsidRPr="00765279">
        <w:rPr>
          <w:lang w:val="en-GB"/>
        </w:rPr>
        <w:t xml:space="preserve"> </w:t>
      </w:r>
      <w:r w:rsidR="00A635B8" w:rsidRPr="00765279">
        <w:rPr>
          <w:lang w:val="en-GB"/>
        </w:rPr>
        <w:t>The limited empirical evidence available to date suggests that RTAs may indeed contribute to increased agrochemical use in agriculture. Williams and Shumway (2000) estimated that the implementation of the NAFTA agreement led to a one-third increase in pesticide and fertilizer use in the United States. More recently, Nie et al. (2022) found that the China-ASEAN agreement contributed to an increase in fertilizer use in China’s fresh fruit and vegetable export sector.</w:t>
      </w:r>
      <w:r w:rsidR="00334066" w:rsidRPr="00765279">
        <w:rPr>
          <w:lang w:val="en-GB"/>
        </w:rPr>
        <w:t xml:space="preserve"> </w:t>
      </w:r>
      <w:r w:rsidR="00BD707B" w:rsidRPr="00765279">
        <w:rPr>
          <w:lang w:val="en-GB"/>
        </w:rPr>
        <w:t xml:space="preserve">Given that environmental provisions in RTAs must be translated into domestic regulations in order to be effective, our central research question is: </w:t>
      </w:r>
      <w:r w:rsidR="00BD707B" w:rsidRPr="00765279">
        <w:rPr>
          <w:rStyle w:val="Enfasigrassetto"/>
          <w:rFonts w:eastAsiaTheme="majorEastAsia"/>
          <w:b w:val="0"/>
          <w:bCs w:val="0"/>
          <w:lang w:val="en-GB"/>
        </w:rPr>
        <w:t>Do RTA provisions on fertilizers and pesticides foster domestic regulation in these areas?</w:t>
      </w:r>
    </w:p>
    <w:p w14:paraId="021343CC" w14:textId="74608BF2" w:rsidR="00D644BF" w:rsidRPr="00765279" w:rsidRDefault="00BD707B" w:rsidP="005549B3">
      <w:pPr>
        <w:pStyle w:val="NormaleWeb"/>
        <w:spacing w:before="120" w:beforeAutospacing="0" w:after="0" w:afterAutospacing="0" w:line="276" w:lineRule="auto"/>
        <w:ind w:firstLine="284"/>
        <w:jc w:val="both"/>
        <w:rPr>
          <w:lang w:val="en-GB"/>
        </w:rPr>
      </w:pPr>
      <w:r w:rsidRPr="00765279">
        <w:rPr>
          <w:lang w:val="en-GB"/>
        </w:rPr>
        <w:t>The availability and quality of data are critical for assessing the effectiveness of such provisions. Only in recent years have datasets become sufficiently detailed and comprehensive to enable robust empirical analysis across a large sample of countries and years.</w:t>
      </w:r>
      <w:r w:rsidR="00334066" w:rsidRPr="00765279">
        <w:rPr>
          <w:lang w:val="en-GB"/>
        </w:rPr>
        <w:t xml:space="preserve"> </w:t>
      </w:r>
      <w:r w:rsidRPr="00765279">
        <w:rPr>
          <w:lang w:val="en-GB"/>
        </w:rPr>
        <w:t>To construct our key variables, we rely on two complementary data sources.</w:t>
      </w:r>
      <w:r w:rsidR="00F02026" w:rsidRPr="00765279">
        <w:rPr>
          <w:lang w:val="en-GB"/>
        </w:rPr>
        <w:t xml:space="preserve"> </w:t>
      </w:r>
      <w:r w:rsidRPr="00765279">
        <w:rPr>
          <w:lang w:val="en-GB"/>
        </w:rPr>
        <w:t>First, we use the WTO database of Technical Barriers to Trade (TBT) notifications. TBTs refer to regulations introduced by governments to safeguard public interests such as health, environmental protection, and animal welfare. Under the WTO TBT Agreement, member states are required to notify the WTO of technical regulations that may affect trade. In this context, the number of TBT notifications related to fertilizers and pesticides serves as a reasonable proxy for the intensity of domestic regulation in this policy domain.</w:t>
      </w:r>
      <w:r w:rsidR="00334066" w:rsidRPr="00765279">
        <w:rPr>
          <w:lang w:val="en-GB"/>
        </w:rPr>
        <w:t xml:space="preserve"> </w:t>
      </w:r>
      <w:r w:rsidRPr="00765279">
        <w:rPr>
          <w:lang w:val="en-GB"/>
        </w:rPr>
        <w:t>Second, we draw on the Trade and Environment Database (TREND), which provides granular information on nearly 300 environmental provisions across 770 RTAs, covering a wide range of years and countries. For the purposes of this study, we focus on those provisions specifically addressing fertilizers and pesticides.</w:t>
      </w:r>
      <w:r w:rsidR="00334066" w:rsidRPr="00765279">
        <w:rPr>
          <w:lang w:val="en-GB"/>
        </w:rPr>
        <w:t xml:space="preserve"> </w:t>
      </w:r>
      <w:r w:rsidRPr="00765279">
        <w:rPr>
          <w:lang w:val="en-GB"/>
        </w:rPr>
        <w:t>Our panel dataset spans 23 years (1995–2017) and includes 142 countries, providing a rich empirical foundation to investigate the extent to which environmental provisions in RTAs are associated with strengthened domestic regulation on agrochemical</w:t>
      </w:r>
      <w:r w:rsidR="005B5C68">
        <w:rPr>
          <w:lang w:val="en-GB"/>
        </w:rPr>
        <w:t>s</w:t>
      </w:r>
      <w:r w:rsidRPr="00765279">
        <w:rPr>
          <w:lang w:val="en-GB"/>
        </w:rPr>
        <w:t>.</w:t>
      </w:r>
    </w:p>
    <w:p w14:paraId="2298874D" w14:textId="77777777" w:rsidR="005B5C68" w:rsidRDefault="00000000" w:rsidP="00804F9D">
      <w:pPr>
        <w:autoSpaceDE w:val="0"/>
        <w:autoSpaceDN w:val="0"/>
        <w:adjustRightInd w:val="0"/>
        <w:spacing w:before="120" w:line="276" w:lineRule="auto"/>
        <w:ind w:right="-1" w:firstLine="142"/>
        <w:jc w:val="both"/>
        <w:rPr>
          <w:rFonts w:ascii="Times New Roman" w:hAnsi="Times New Roman" w:cs="Times New Roman"/>
          <w:lang w:val="en-GB"/>
        </w:rPr>
      </w:pPr>
      <w:r w:rsidRPr="00765279">
        <w:rPr>
          <w:rFonts w:ascii="Times New Roman" w:hAnsi="Times New Roman" w:cs="Times New Roman"/>
          <w:lang w:val="en-GB"/>
        </w:rPr>
        <w:t xml:space="preserve">The relationship between </w:t>
      </w:r>
      <w:r w:rsidRPr="00765279">
        <w:rPr>
          <w:rFonts w:ascii="Times New Roman" w:eastAsia="Aptos" w:hAnsi="Times New Roman" w:cs="Times New Roman"/>
          <w:lang w:val="en-GB"/>
        </w:rPr>
        <w:t xml:space="preserve">the environmental provisions in RTAs and TBT notifications </w:t>
      </w:r>
      <w:r w:rsidR="006D6B38" w:rsidRPr="00765279">
        <w:rPr>
          <w:rFonts w:ascii="Times New Roman" w:hAnsi="Times New Roman" w:cs="Times New Roman"/>
          <w:lang w:val="en-GB"/>
        </w:rPr>
        <w:t xml:space="preserve">is </w:t>
      </w:r>
      <w:r w:rsidR="00766E63" w:rsidRPr="00765279">
        <w:rPr>
          <w:rFonts w:ascii="Times New Roman" w:hAnsi="Times New Roman" w:cs="Times New Roman"/>
          <w:lang w:val="en-GB"/>
        </w:rPr>
        <w:t>complex</w:t>
      </w:r>
      <w:r w:rsidR="006D6B38" w:rsidRPr="00765279">
        <w:rPr>
          <w:rFonts w:ascii="Times New Roman" w:hAnsi="Times New Roman" w:cs="Times New Roman"/>
          <w:lang w:val="en-GB"/>
        </w:rPr>
        <w:t>. On the one hand, it is reasonable to hypothesize</w:t>
      </w:r>
      <w:r w:rsidR="000A629A" w:rsidRPr="00765279">
        <w:rPr>
          <w:rFonts w:ascii="Times New Roman" w:hAnsi="Times New Roman" w:cs="Times New Roman"/>
          <w:lang w:val="en-GB"/>
        </w:rPr>
        <w:t xml:space="preserve"> - as we do -</w:t>
      </w:r>
      <w:r w:rsidR="006D6B38" w:rsidRPr="00765279">
        <w:rPr>
          <w:rFonts w:ascii="Times New Roman" w:hAnsi="Times New Roman" w:cs="Times New Roman"/>
          <w:lang w:val="en-GB"/>
        </w:rPr>
        <w:t xml:space="preserve"> that environmental provisions in RTAs positively influence TBT notifications. When the commitments enshrined in RTAs exceed the stringency of existing domestic regulations, member countries are required to introduce new legislation to comply with such provisions. These legislative changes are, in most cases, notified to the WTO under the TBT Agreement.</w:t>
      </w:r>
      <w:r w:rsidR="0039019C" w:rsidRPr="00765279">
        <w:rPr>
          <w:rFonts w:ascii="Times New Roman" w:hAnsi="Times New Roman" w:cs="Times New Roman"/>
          <w:lang w:val="en-GB"/>
        </w:rPr>
        <w:t xml:space="preserve"> The extent to which governments are willing and able to translate international commitments into domestic regulatory actions depends on a range of economic, political, and institutional factors. Understanding the drivers behind the adoption of more stringent standards </w:t>
      </w:r>
      <w:r w:rsidR="004518FA" w:rsidRPr="00765279">
        <w:rPr>
          <w:rFonts w:ascii="Times New Roman" w:hAnsi="Times New Roman" w:cs="Times New Roman"/>
          <w:lang w:val="en-GB"/>
        </w:rPr>
        <w:t xml:space="preserve">in the context of RTAs </w:t>
      </w:r>
      <w:r w:rsidR="0039019C" w:rsidRPr="00765279">
        <w:rPr>
          <w:rFonts w:ascii="Times New Roman" w:hAnsi="Times New Roman" w:cs="Times New Roman"/>
          <w:lang w:val="en-GB"/>
        </w:rPr>
        <w:t xml:space="preserve">offers valuable insights into this </w:t>
      </w:r>
      <w:r w:rsidR="0039019C" w:rsidRPr="00765279">
        <w:rPr>
          <w:rFonts w:ascii="Times New Roman" w:hAnsi="Times New Roman" w:cs="Times New Roman"/>
          <w:lang w:val="en-GB"/>
        </w:rPr>
        <w:lastRenderedPageBreak/>
        <w:t>process. Strong regulatory standards increase both fixed and variable compliance costs for domestic and foreign firms, resulting in two key outcomes (</w:t>
      </w:r>
      <w:proofErr w:type="spellStart"/>
      <w:r w:rsidR="0039019C" w:rsidRPr="00765279">
        <w:rPr>
          <w:rFonts w:ascii="Times New Roman" w:hAnsi="Times New Roman" w:cs="Times New Roman"/>
          <w:lang w:val="en-GB"/>
        </w:rPr>
        <w:t>Disdier</w:t>
      </w:r>
      <w:proofErr w:type="spellEnd"/>
      <w:r w:rsidR="0039019C" w:rsidRPr="00765279">
        <w:rPr>
          <w:rFonts w:ascii="Times New Roman" w:hAnsi="Times New Roman" w:cs="Times New Roman"/>
          <w:lang w:val="en-GB"/>
        </w:rPr>
        <w:t xml:space="preserve"> et al., 2015; Santeramo</w:t>
      </w:r>
      <w:r w:rsidR="0053574B" w:rsidRPr="00765279">
        <w:rPr>
          <w:rFonts w:ascii="Times New Roman" w:hAnsi="Times New Roman" w:cs="Times New Roman"/>
          <w:lang w:val="en-GB"/>
        </w:rPr>
        <w:t>,</w:t>
      </w:r>
      <w:r w:rsidR="0039019C" w:rsidRPr="00765279">
        <w:rPr>
          <w:rFonts w:ascii="Times New Roman" w:hAnsi="Times New Roman" w:cs="Times New Roman"/>
          <w:lang w:val="en-GB"/>
        </w:rPr>
        <w:t xml:space="preserve"> Lamonaca, 2019). First, less efficient—typically smaller—firms may find it unviable to absorb the increased fixed costs, thereby leading to their exit from the market. Empirical evidence indicates that smaller exporters are disproportionately affected by stricter pesticide standards, particularly in their decisions to enter or exit international markets (Fernandes et al., 2019). Second, firms located in countries with comparatively weaker standards incur higher costs to meet the regulatory requirements of more stringent countries. Consequently, new TBT measures can lead to a redistribution of profits both within countries (from less to more efficient firms) and across countries (from low- to high-standard economies). The political economy literature suggests that the imposition of non-tariff measures, such as TBTs, is often associated with the influence of large transnational </w:t>
      </w:r>
      <w:r w:rsidR="005B5C68">
        <w:rPr>
          <w:rFonts w:ascii="Times New Roman" w:hAnsi="Times New Roman" w:cs="Times New Roman"/>
          <w:lang w:val="en-GB"/>
        </w:rPr>
        <w:t>lobbies</w:t>
      </w:r>
      <w:r w:rsidR="0039019C" w:rsidRPr="00765279">
        <w:rPr>
          <w:rFonts w:ascii="Times New Roman" w:hAnsi="Times New Roman" w:cs="Times New Roman"/>
          <w:lang w:val="en-GB"/>
        </w:rPr>
        <w:t xml:space="preserve">. </w:t>
      </w:r>
      <w:r w:rsidR="005B5C68">
        <w:rPr>
          <w:rFonts w:ascii="Times New Roman" w:hAnsi="Times New Roman" w:cs="Times New Roman"/>
          <w:lang w:val="en-GB"/>
        </w:rPr>
        <w:t>Large</w:t>
      </w:r>
      <w:r w:rsidR="0039019C" w:rsidRPr="00765279">
        <w:rPr>
          <w:rFonts w:ascii="Times New Roman" w:hAnsi="Times New Roman" w:cs="Times New Roman"/>
          <w:lang w:val="en-GB"/>
        </w:rPr>
        <w:t xml:space="preserve"> firms may lobby national governments to adopt more stringent regulations that can serve as barriers to entry, thus reducing competition (Abel-Koch, 2013). </w:t>
      </w:r>
      <w:r w:rsidR="008F4227" w:rsidRPr="00765279">
        <w:rPr>
          <w:rFonts w:ascii="Times New Roman" w:hAnsi="Times New Roman" w:cs="Times New Roman"/>
          <w:lang w:val="en-GB"/>
        </w:rPr>
        <w:t>Also</w:t>
      </w:r>
      <w:r w:rsidR="0039019C" w:rsidRPr="00765279">
        <w:rPr>
          <w:rFonts w:ascii="Times New Roman" w:hAnsi="Times New Roman" w:cs="Times New Roman"/>
          <w:lang w:val="en-GB"/>
        </w:rPr>
        <w:t xml:space="preserve">, transnational lobbies tend to be particularly effective in countries engaged in RTAs, as they are </w:t>
      </w:r>
      <w:r w:rsidR="006949D7" w:rsidRPr="00765279">
        <w:rPr>
          <w:rFonts w:ascii="Times New Roman" w:hAnsi="Times New Roman" w:cs="Times New Roman"/>
          <w:lang w:val="en-GB"/>
        </w:rPr>
        <w:t xml:space="preserve">already </w:t>
      </w:r>
      <w:r w:rsidR="0039019C" w:rsidRPr="00765279">
        <w:rPr>
          <w:rFonts w:ascii="Times New Roman" w:hAnsi="Times New Roman" w:cs="Times New Roman"/>
          <w:lang w:val="en-GB"/>
        </w:rPr>
        <w:t>well-organized to influence both the negotiation and implementation phases of such agreements</w:t>
      </w:r>
      <w:r w:rsidR="005B5C68">
        <w:rPr>
          <w:rFonts w:ascii="Times New Roman" w:hAnsi="Times New Roman" w:cs="Times New Roman"/>
          <w:lang w:val="en-GB"/>
        </w:rPr>
        <w:t xml:space="preserve"> and </w:t>
      </w:r>
      <w:r w:rsidR="005B5C68" w:rsidRPr="00765279">
        <w:rPr>
          <w:rFonts w:ascii="Times New Roman" w:hAnsi="Times New Roman" w:cs="Times New Roman"/>
        </w:rPr>
        <w:t xml:space="preserve">are </w:t>
      </w:r>
      <w:r w:rsidR="005B5C68">
        <w:rPr>
          <w:rFonts w:ascii="Times New Roman" w:hAnsi="Times New Roman" w:cs="Times New Roman"/>
        </w:rPr>
        <w:t xml:space="preserve">hence </w:t>
      </w:r>
      <w:r w:rsidR="005B5C68" w:rsidRPr="00765279">
        <w:rPr>
          <w:rFonts w:ascii="Times New Roman" w:hAnsi="Times New Roman" w:cs="Times New Roman"/>
        </w:rPr>
        <w:t>well-established as influential interest groups within the framework of RTAs</w:t>
      </w:r>
      <w:r w:rsidR="0039019C" w:rsidRPr="00765279">
        <w:rPr>
          <w:rFonts w:ascii="Times New Roman" w:hAnsi="Times New Roman" w:cs="Times New Roman"/>
          <w:lang w:val="en-GB"/>
        </w:rPr>
        <w:t xml:space="preserve"> (</w:t>
      </w:r>
      <w:proofErr w:type="spellStart"/>
      <w:r w:rsidR="0039019C" w:rsidRPr="00765279">
        <w:rPr>
          <w:rFonts w:ascii="Times New Roman" w:hAnsi="Times New Roman" w:cs="Times New Roman"/>
          <w:lang w:val="en-GB"/>
        </w:rPr>
        <w:t>Hergelegiu</w:t>
      </w:r>
      <w:proofErr w:type="spellEnd"/>
      <w:r w:rsidR="0039019C" w:rsidRPr="00765279">
        <w:rPr>
          <w:rFonts w:ascii="Times New Roman" w:hAnsi="Times New Roman" w:cs="Times New Roman"/>
          <w:lang w:val="en-GB"/>
        </w:rPr>
        <w:t>, 2017).</w:t>
      </w:r>
      <w:r w:rsidR="006949D7" w:rsidRPr="00765279">
        <w:rPr>
          <w:rFonts w:ascii="Times New Roman" w:hAnsi="Times New Roman" w:cs="Times New Roman"/>
          <w:lang w:val="en-GB"/>
        </w:rPr>
        <w:t xml:space="preserve"> </w:t>
      </w:r>
      <w:r w:rsidR="00AD280B" w:rsidRPr="00765279">
        <w:rPr>
          <w:rStyle w:val="Enfasigrassetto"/>
          <w:rFonts w:ascii="Times New Roman" w:hAnsi="Times New Roman" w:cs="Times New Roman"/>
          <w:b w:val="0"/>
          <w:bCs w:val="0"/>
        </w:rPr>
        <w:t>Accordingly</w:t>
      </w:r>
      <w:r w:rsidR="00AD280B" w:rsidRPr="00765279">
        <w:rPr>
          <w:rFonts w:ascii="Times New Roman" w:hAnsi="Times New Roman" w:cs="Times New Roman"/>
        </w:rPr>
        <w:t>, an important driver of the domestic implementation of RTA provisions on fertilizers and pesticides is the lobbying power of large firms and transnational actors.</w:t>
      </w:r>
      <w:r w:rsidR="0053574B" w:rsidRPr="00765279">
        <w:rPr>
          <w:rFonts w:ascii="Times New Roman" w:hAnsi="Times New Roman" w:cs="Times New Roman"/>
          <w:lang w:val="en-GB"/>
        </w:rPr>
        <w:t xml:space="preserve"> </w:t>
      </w:r>
    </w:p>
    <w:p w14:paraId="0F5A5166" w14:textId="7351C251" w:rsidR="00A06F86" w:rsidRPr="00765279" w:rsidRDefault="006D6B38" w:rsidP="00804F9D">
      <w:pPr>
        <w:autoSpaceDE w:val="0"/>
        <w:autoSpaceDN w:val="0"/>
        <w:adjustRightInd w:val="0"/>
        <w:spacing w:before="120" w:line="276" w:lineRule="auto"/>
        <w:ind w:right="-1" w:firstLine="142"/>
        <w:jc w:val="both"/>
        <w:rPr>
          <w:rFonts w:ascii="Times New Roman" w:hAnsi="Times New Roman" w:cs="Times New Roman"/>
          <w:lang w:val="en-GB"/>
        </w:rPr>
      </w:pPr>
      <w:r w:rsidRPr="00765279">
        <w:rPr>
          <w:rFonts w:ascii="Times New Roman" w:hAnsi="Times New Roman" w:cs="Times New Roman"/>
          <w:lang w:val="en-GB"/>
        </w:rPr>
        <w:t>In addition, environmental chapters in RTAs frequently include institutional mechanisms designed to promote cooperation on sustainable development and monitor the implementation of environmental commitments. These mechanisms enhance information exchange and strengthen civil society’s awareness of environmental risks, thereby increasing the likelihood of new environmental regulations, especially in countries with initially weak regulatory frameworks.</w:t>
      </w:r>
    </w:p>
    <w:p w14:paraId="255E9D85" w14:textId="77777777" w:rsidR="002A44BF" w:rsidRPr="00765279" w:rsidRDefault="00A06F86" w:rsidP="00804F9D">
      <w:pPr>
        <w:autoSpaceDE w:val="0"/>
        <w:autoSpaceDN w:val="0"/>
        <w:adjustRightInd w:val="0"/>
        <w:spacing w:before="120" w:line="276" w:lineRule="auto"/>
        <w:ind w:right="-1" w:firstLine="142"/>
        <w:jc w:val="both"/>
        <w:rPr>
          <w:rFonts w:ascii="Times New Roman" w:hAnsi="Times New Roman" w:cs="Times New Roman"/>
          <w:lang w:val="en-GB"/>
        </w:rPr>
      </w:pPr>
      <w:r w:rsidRPr="00765279">
        <w:rPr>
          <w:rFonts w:ascii="Times New Roman" w:hAnsi="Times New Roman" w:cs="Times New Roman"/>
          <w:lang w:val="en-GB"/>
        </w:rPr>
        <w:t xml:space="preserve">However, TBTs may also serve as an important determinant of the inclusion of environmental provisions in RTAs. Countries with more extensive regulatory frameworks are generally more inclined to sign RTAs that incorporate environmental provisions—particularly when these agreements involve partners with weaker regulatory standards. This tendency is driven by both economic and political considerations. Countries with strong environmental standards seek to avoid the so-called "pollution haven" effect within RTAs, whereby trade liberalization incentivizes firms to relocate production to jurisdictions with laxer regulations in order to minimize fixed and variable costs. Additionally, these countries aim to protect their consumers from potentially unsafe food imports originating from less regulated economies. Unsurprisingly, the European Union has emerged as a leading actor in the proliferation of “green” RTAs. Furthermore, transnational lobbies advocating for stricter environmental regulation are often the same actors who support deep trade integration. </w:t>
      </w:r>
    </w:p>
    <w:p w14:paraId="1F80BC10" w14:textId="259A23DD" w:rsidR="00A84808" w:rsidRPr="00765279" w:rsidRDefault="00A06F86" w:rsidP="00804F9D">
      <w:pPr>
        <w:autoSpaceDE w:val="0"/>
        <w:autoSpaceDN w:val="0"/>
        <w:adjustRightInd w:val="0"/>
        <w:spacing w:before="120" w:line="276" w:lineRule="auto"/>
        <w:ind w:right="-1" w:firstLine="142"/>
        <w:jc w:val="both"/>
        <w:rPr>
          <w:rFonts w:ascii="Times New Roman" w:hAnsi="Times New Roman" w:cs="Times New Roman"/>
          <w:lang w:val="en-GB"/>
        </w:rPr>
      </w:pPr>
      <w:r w:rsidRPr="00765279">
        <w:rPr>
          <w:rFonts w:ascii="Times New Roman" w:hAnsi="Times New Roman" w:cs="Times New Roman"/>
          <w:lang w:val="en-GB"/>
        </w:rPr>
        <w:t xml:space="preserve">This bidirectional relationship introduces a significant source of endogeneity in empirical analysis, as it reflects reverse causality that must be carefully addressed in the econometric framework. </w:t>
      </w:r>
    </w:p>
    <w:p w14:paraId="2E8F97C5" w14:textId="352E261D" w:rsidR="00A84808" w:rsidRPr="00765279" w:rsidRDefault="00A06F86" w:rsidP="00804F9D">
      <w:pPr>
        <w:autoSpaceDE w:val="0"/>
        <w:autoSpaceDN w:val="0"/>
        <w:adjustRightInd w:val="0"/>
        <w:spacing w:before="120" w:line="276" w:lineRule="auto"/>
        <w:ind w:right="-1" w:firstLine="142"/>
        <w:jc w:val="both"/>
        <w:rPr>
          <w:rFonts w:ascii="Times New Roman" w:hAnsi="Times New Roman" w:cs="Times New Roman"/>
          <w:lang w:val="en-GB"/>
        </w:rPr>
      </w:pPr>
      <w:r w:rsidRPr="00765279">
        <w:rPr>
          <w:rFonts w:ascii="Times New Roman" w:hAnsi="Times New Roman" w:cs="Times New Roman"/>
          <w:lang w:val="en-GB"/>
        </w:rPr>
        <w:t xml:space="preserve">Timing is also likely to play a critical role in both directions of this relationship. Countries may delay </w:t>
      </w:r>
      <w:r w:rsidR="00F703DF">
        <w:rPr>
          <w:rFonts w:ascii="Times New Roman" w:hAnsi="Times New Roman" w:cs="Times New Roman"/>
          <w:lang w:val="en-GB"/>
        </w:rPr>
        <w:t xml:space="preserve">or anticipate </w:t>
      </w:r>
      <w:r w:rsidRPr="00765279">
        <w:rPr>
          <w:rFonts w:ascii="Times New Roman" w:hAnsi="Times New Roman" w:cs="Times New Roman"/>
          <w:lang w:val="en-GB"/>
        </w:rPr>
        <w:t xml:space="preserve">the domestic implementation of RTA commitments on fertilizers and pesticides due to institutional constraints </w:t>
      </w:r>
      <w:r w:rsidRPr="00153E74">
        <w:rPr>
          <w:rFonts w:ascii="Times New Roman" w:hAnsi="Times New Roman" w:cs="Times New Roman"/>
          <w:lang w:val="en-GB"/>
        </w:rPr>
        <w:t xml:space="preserve">or political </w:t>
      </w:r>
      <w:r w:rsidR="00A84808" w:rsidRPr="00153E74">
        <w:rPr>
          <w:rFonts w:ascii="Times New Roman" w:hAnsi="Times New Roman" w:cs="Times New Roman"/>
          <w:lang w:val="en-GB"/>
        </w:rPr>
        <w:t xml:space="preserve">deadlines which makes governments </w:t>
      </w:r>
      <w:r w:rsidR="00F703DF" w:rsidRPr="00153E74">
        <w:rPr>
          <w:rFonts w:ascii="Times New Roman" w:hAnsi="Times New Roman" w:cs="Times New Roman"/>
          <w:lang w:val="en-GB"/>
        </w:rPr>
        <w:t xml:space="preserve">more </w:t>
      </w:r>
      <w:r w:rsidRPr="00153E74">
        <w:rPr>
          <w:rFonts w:ascii="Times New Roman" w:hAnsi="Times New Roman" w:cs="Times New Roman"/>
          <w:lang w:val="en-GB"/>
        </w:rPr>
        <w:t>reluctan</w:t>
      </w:r>
      <w:r w:rsidR="00F703DF" w:rsidRPr="00153E74">
        <w:rPr>
          <w:rFonts w:ascii="Times New Roman" w:hAnsi="Times New Roman" w:cs="Times New Roman"/>
          <w:lang w:val="en-GB"/>
        </w:rPr>
        <w:t>t/</w:t>
      </w:r>
      <w:r w:rsidR="00A103E5" w:rsidRPr="00153E74">
        <w:rPr>
          <w:rFonts w:ascii="Times New Roman" w:hAnsi="Times New Roman" w:cs="Times New Roman"/>
          <w:lang w:val="en-GB"/>
        </w:rPr>
        <w:t>willing</w:t>
      </w:r>
      <w:r w:rsidRPr="00153E74">
        <w:rPr>
          <w:rFonts w:ascii="Times New Roman" w:hAnsi="Times New Roman" w:cs="Times New Roman"/>
          <w:lang w:val="en-GB"/>
        </w:rPr>
        <w:t xml:space="preserve"> to adopt environmental regulations. </w:t>
      </w:r>
      <w:r w:rsidR="00ED4860" w:rsidRPr="00153E74">
        <w:rPr>
          <w:rFonts w:ascii="Times New Roman" w:hAnsi="Times New Roman" w:cs="Times New Roman"/>
          <w:lang w:val="en-GB"/>
        </w:rPr>
        <w:t>Also</w:t>
      </w:r>
      <w:r w:rsidRPr="00153E74">
        <w:rPr>
          <w:rFonts w:ascii="Times New Roman" w:hAnsi="Times New Roman" w:cs="Times New Roman"/>
          <w:lang w:val="en-GB"/>
        </w:rPr>
        <w:t xml:space="preserve">, there may be a time lag between the introduction of a TBT and the signing of an RTA that includes environmental provisions. </w:t>
      </w:r>
      <w:r w:rsidR="00153E74" w:rsidRPr="00153E74">
        <w:rPr>
          <w:rFonts w:ascii="Times New Roman" w:hAnsi="Times New Roman" w:cs="Times New Roman"/>
        </w:rPr>
        <w:t xml:space="preserve">Finally, both TBTs and environmental provisions may exhibit persistence, in that once introduced, they </w:t>
      </w:r>
      <w:r w:rsidR="00153E74" w:rsidRPr="00153E74">
        <w:rPr>
          <w:rFonts w:ascii="Times New Roman" w:hAnsi="Times New Roman" w:cs="Times New Roman"/>
        </w:rPr>
        <w:lastRenderedPageBreak/>
        <w:t xml:space="preserve">tend to remain in </w:t>
      </w:r>
      <w:proofErr w:type="gramStart"/>
      <w:r w:rsidR="00153E74" w:rsidRPr="00153E74">
        <w:rPr>
          <w:rFonts w:ascii="Times New Roman" w:hAnsi="Times New Roman" w:cs="Times New Roman"/>
        </w:rPr>
        <w:t>place</w:t>
      </w:r>
      <w:r w:rsidR="00BF75A2">
        <w:rPr>
          <w:rFonts w:ascii="Times New Roman" w:hAnsi="Times New Roman" w:cs="Times New Roman"/>
        </w:rPr>
        <w:t>.</w:t>
      </w:r>
      <w:r w:rsidRPr="00153E74">
        <w:rPr>
          <w:rFonts w:ascii="Times New Roman" w:hAnsi="Times New Roman" w:cs="Times New Roman"/>
          <w:lang w:val="en-GB"/>
        </w:rPr>
        <w:t>This</w:t>
      </w:r>
      <w:proofErr w:type="gramEnd"/>
      <w:r w:rsidRPr="00153E74">
        <w:rPr>
          <w:rFonts w:ascii="Times New Roman" w:hAnsi="Times New Roman" w:cs="Times New Roman"/>
          <w:lang w:val="en-GB"/>
        </w:rPr>
        <w:t xml:space="preserve"> potential dynamic relationship </w:t>
      </w:r>
      <w:r w:rsidR="00ED4860" w:rsidRPr="00153E74">
        <w:rPr>
          <w:rFonts w:ascii="Times New Roman" w:hAnsi="Times New Roman" w:cs="Times New Roman"/>
          <w:lang w:val="en-GB"/>
        </w:rPr>
        <w:t xml:space="preserve">and persistency of variables </w:t>
      </w:r>
      <w:r w:rsidRPr="00153E74">
        <w:rPr>
          <w:rFonts w:ascii="Times New Roman" w:hAnsi="Times New Roman" w:cs="Times New Roman"/>
          <w:lang w:val="en-GB"/>
        </w:rPr>
        <w:t>should be explicitly accounted for in empirical assessments</w:t>
      </w:r>
      <w:r w:rsidRPr="00765279">
        <w:rPr>
          <w:rFonts w:ascii="Times New Roman" w:hAnsi="Times New Roman" w:cs="Times New Roman"/>
          <w:lang w:val="en-GB"/>
        </w:rPr>
        <w:t>.</w:t>
      </w:r>
      <w:r w:rsidR="00E91506" w:rsidRPr="00765279">
        <w:rPr>
          <w:rFonts w:ascii="Times New Roman" w:hAnsi="Times New Roman" w:cs="Times New Roman"/>
          <w:lang w:val="en-GB"/>
        </w:rPr>
        <w:t xml:space="preserve">  </w:t>
      </w:r>
    </w:p>
    <w:p w14:paraId="2133FB07" w14:textId="2059AA6E" w:rsidR="00DC3CA8" w:rsidRPr="00765279" w:rsidRDefault="00A84808" w:rsidP="00804F9D">
      <w:pPr>
        <w:autoSpaceDE w:val="0"/>
        <w:autoSpaceDN w:val="0"/>
        <w:adjustRightInd w:val="0"/>
        <w:spacing w:before="120" w:line="276" w:lineRule="auto"/>
        <w:ind w:right="-1" w:firstLine="142"/>
        <w:jc w:val="both"/>
        <w:rPr>
          <w:rFonts w:ascii="Times New Roman" w:hAnsi="Times New Roman" w:cs="Times New Roman"/>
          <w:lang w:val="en-GB"/>
        </w:rPr>
      </w:pPr>
      <w:r w:rsidRPr="00765279">
        <w:rPr>
          <w:rFonts w:ascii="Times New Roman" w:hAnsi="Times New Roman" w:cs="Times New Roman"/>
          <w:lang w:val="en-GB"/>
        </w:rPr>
        <w:t xml:space="preserve">In our empirical analysis, we account </w:t>
      </w:r>
      <w:r w:rsidR="007B7D4F" w:rsidRPr="00765279">
        <w:rPr>
          <w:rFonts w:ascii="Times New Roman" w:hAnsi="Times New Roman" w:cs="Times New Roman"/>
          <w:lang w:val="en-GB"/>
        </w:rPr>
        <w:t xml:space="preserve">also </w:t>
      </w:r>
      <w:r w:rsidRPr="00765279">
        <w:rPr>
          <w:rFonts w:ascii="Times New Roman" w:hAnsi="Times New Roman" w:cs="Times New Roman"/>
          <w:lang w:val="en-GB"/>
        </w:rPr>
        <w:t>for several additional determinants of TBTs that have been emphasized in the existing literature (</w:t>
      </w:r>
      <w:proofErr w:type="spellStart"/>
      <w:r w:rsidRPr="00765279">
        <w:rPr>
          <w:rFonts w:ascii="Times New Roman" w:hAnsi="Times New Roman" w:cs="Times New Roman"/>
          <w:lang w:val="en-GB"/>
        </w:rPr>
        <w:t>Beverelli</w:t>
      </w:r>
      <w:proofErr w:type="spellEnd"/>
      <w:r w:rsidRPr="00765279">
        <w:rPr>
          <w:rFonts w:ascii="Times New Roman" w:hAnsi="Times New Roman" w:cs="Times New Roman"/>
          <w:lang w:val="en-GB"/>
        </w:rPr>
        <w:t xml:space="preserve"> et al., 2014; Ghodsi, 2018; Orefice, 2017; </w:t>
      </w:r>
      <w:proofErr w:type="spellStart"/>
      <w:r w:rsidRPr="00765279">
        <w:rPr>
          <w:rFonts w:ascii="Times New Roman" w:hAnsi="Times New Roman" w:cs="Times New Roman"/>
          <w:lang w:val="en-GB"/>
        </w:rPr>
        <w:t>Hergelėgiu</w:t>
      </w:r>
      <w:proofErr w:type="spellEnd"/>
      <w:r w:rsidRPr="00765279">
        <w:rPr>
          <w:rFonts w:ascii="Times New Roman" w:hAnsi="Times New Roman" w:cs="Times New Roman"/>
          <w:lang w:val="en-GB"/>
        </w:rPr>
        <w:t>, 2017; Cha</w:t>
      </w:r>
      <w:r w:rsidR="007056A3" w:rsidRPr="00765279">
        <w:rPr>
          <w:rFonts w:ascii="Times New Roman" w:hAnsi="Times New Roman" w:cs="Times New Roman"/>
          <w:lang w:val="en-GB"/>
        </w:rPr>
        <w:t>,</w:t>
      </w:r>
      <w:r w:rsidRPr="00765279">
        <w:rPr>
          <w:rFonts w:ascii="Times New Roman" w:hAnsi="Times New Roman" w:cs="Times New Roman"/>
          <w:lang w:val="en-GB"/>
        </w:rPr>
        <w:t xml:space="preserve"> Koo, 2021).</w:t>
      </w:r>
      <w:r w:rsidR="00346152" w:rsidRPr="00765279">
        <w:rPr>
          <w:rFonts w:ascii="Times New Roman" w:hAnsi="Times New Roman" w:cs="Times New Roman"/>
          <w:lang w:val="en-GB"/>
        </w:rPr>
        <w:t xml:space="preserve"> </w:t>
      </w:r>
      <w:r w:rsidRPr="00765279">
        <w:rPr>
          <w:rFonts w:ascii="Times New Roman" w:eastAsia="Aptos" w:hAnsi="Times New Roman" w:cs="Times New Roman"/>
          <w:sz w:val="22"/>
          <w:szCs w:val="22"/>
          <w:lang w:val="en-GB"/>
        </w:rPr>
        <w:t>T</w:t>
      </w:r>
      <w:r w:rsidRPr="00765279">
        <w:rPr>
          <w:rFonts w:ascii="Times New Roman" w:eastAsia="Aptos" w:hAnsi="Times New Roman" w:cs="Times New Roman"/>
          <w:lang w:val="en-GB"/>
        </w:rPr>
        <w:t xml:space="preserve">he first is tariffs. </w:t>
      </w:r>
      <w:r w:rsidRPr="00765279">
        <w:rPr>
          <w:rFonts w:ascii="Times New Roman" w:hAnsi="Times New Roman" w:cs="Times New Roman"/>
          <w:lang w:val="en-GB"/>
        </w:rPr>
        <w:t>Since TBTs affect both the fixed and variable costs of trade, they can function as non-tariff measures. It has been widely documented that TBTs may emerge as a response to tariff liberalization, effectively serving as substitutes for tariff-based protectionism. Second, the perception of health and environmental risks constitutes a legitimate rationale for the adoption of more stringent regulations, particularly in the production and use of fertilizers and pesticides. Third, regulatory frameworks in one country may be influenced by those in other countries. Governments may choose to voluntarily harmonize their domestic regulations with those of their trading partners to enhance the international competitiveness of domestic firms.</w:t>
      </w:r>
      <w:r w:rsidRPr="00765279">
        <w:rPr>
          <w:rStyle w:val="Rimandonotaapidipagina"/>
          <w:rFonts w:ascii="Times New Roman" w:hAnsi="Times New Roman" w:cs="Times New Roman"/>
          <w:color w:val="333333"/>
          <w:sz w:val="22"/>
          <w:szCs w:val="22"/>
          <w:shd w:val="clear" w:color="auto" w:fill="FFFFFF"/>
          <w:lang w:val="en-GB"/>
        </w:rPr>
        <w:t xml:space="preserve"> </w:t>
      </w:r>
      <w:r w:rsidRPr="00765279">
        <w:rPr>
          <w:rStyle w:val="Rimandonotaapidipagina"/>
          <w:rFonts w:ascii="Times New Roman" w:hAnsi="Times New Roman" w:cs="Times New Roman"/>
          <w:color w:val="333333"/>
          <w:sz w:val="22"/>
          <w:szCs w:val="22"/>
          <w:shd w:val="clear" w:color="auto" w:fill="FFFFFF"/>
          <w:lang w:val="en-GB"/>
        </w:rPr>
        <w:footnoteReference w:id="3"/>
      </w:r>
      <w:r w:rsidRPr="00765279">
        <w:rPr>
          <w:rFonts w:ascii="Times New Roman" w:hAnsi="Times New Roman" w:cs="Times New Roman"/>
          <w:lang w:val="en-GB"/>
        </w:rPr>
        <w:t xml:space="preserve"> In light of these considerations, we also incorporate potential </w:t>
      </w:r>
      <w:r w:rsidRPr="00765279">
        <w:rPr>
          <w:rStyle w:val="Enfasigrassetto"/>
          <w:rFonts w:ascii="Times New Roman" w:hAnsi="Times New Roman" w:cs="Times New Roman"/>
          <w:b w:val="0"/>
          <w:bCs w:val="0"/>
          <w:lang w:val="en-GB"/>
        </w:rPr>
        <w:t>spatial determinants</w:t>
      </w:r>
      <w:r w:rsidRPr="00765279">
        <w:rPr>
          <w:rFonts w:ascii="Times New Roman" w:hAnsi="Times New Roman" w:cs="Times New Roman"/>
          <w:lang w:val="en-GB"/>
        </w:rPr>
        <w:t xml:space="preserve"> of environmental TBTs into our analysis, recognizing that regulatory diffusion across countries may play a significant role.</w:t>
      </w:r>
    </w:p>
    <w:p w14:paraId="0E7BFE8D" w14:textId="01430E5E" w:rsidR="00D64706"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lang w:val="en-GB"/>
        </w:rPr>
      </w:pPr>
      <w:r w:rsidRPr="00765279">
        <w:rPr>
          <w:rFonts w:ascii="Times New Roman" w:hAnsi="Times New Roman" w:cs="Times New Roman"/>
          <w:lang w:val="en-GB"/>
        </w:rPr>
        <w:t xml:space="preserve">We contribute to different strands of </w:t>
      </w:r>
      <w:r w:rsidRPr="00765279">
        <w:rPr>
          <w:rFonts w:ascii="Times New Roman" w:eastAsia="Aptos" w:hAnsi="Times New Roman" w:cs="Times New Roman"/>
          <w:lang w:val="en-GB"/>
        </w:rPr>
        <w:t xml:space="preserve">the </w:t>
      </w:r>
      <w:r w:rsidR="00D64706" w:rsidRPr="00765279">
        <w:rPr>
          <w:rFonts w:ascii="Times New Roman" w:eastAsia="Aptos" w:hAnsi="Times New Roman" w:cs="Times New Roman"/>
          <w:lang w:val="en-GB"/>
        </w:rPr>
        <w:t xml:space="preserve">existing </w:t>
      </w:r>
      <w:r w:rsidRPr="00765279">
        <w:rPr>
          <w:rFonts w:ascii="Times New Roman" w:eastAsia="Aptos" w:hAnsi="Times New Roman" w:cs="Times New Roman"/>
          <w:lang w:val="en-GB"/>
        </w:rPr>
        <w:t xml:space="preserve">literature. </w:t>
      </w:r>
      <w:r w:rsidR="006A3FA9" w:rsidRPr="00765279">
        <w:rPr>
          <w:rFonts w:ascii="Times New Roman" w:eastAsia="Aptos" w:hAnsi="Times New Roman" w:cs="Times New Roman"/>
          <w:lang w:val="en-GB"/>
        </w:rPr>
        <w:t>F</w:t>
      </w:r>
      <w:r w:rsidRPr="00765279">
        <w:rPr>
          <w:rFonts w:ascii="Times New Roman" w:eastAsia="Aptos" w:hAnsi="Times New Roman" w:cs="Times New Roman"/>
          <w:lang w:val="en-GB"/>
        </w:rPr>
        <w:t>irst</w:t>
      </w:r>
      <w:r w:rsidR="00AF07AC" w:rsidRPr="00765279">
        <w:rPr>
          <w:rFonts w:ascii="Times New Roman" w:eastAsia="Aptos" w:hAnsi="Times New Roman" w:cs="Times New Roman"/>
          <w:lang w:val="en-GB"/>
        </w:rPr>
        <w:t>,</w:t>
      </w:r>
      <w:r w:rsidRPr="00765279">
        <w:rPr>
          <w:rFonts w:ascii="Times New Roman" w:eastAsia="Aptos" w:hAnsi="Times New Roman" w:cs="Times New Roman"/>
          <w:lang w:val="en-GB"/>
        </w:rPr>
        <w:t xml:space="preserve"> </w:t>
      </w:r>
      <w:r w:rsidR="006A3FA9" w:rsidRPr="00765279">
        <w:rPr>
          <w:rFonts w:ascii="Times New Roman" w:eastAsia="Aptos" w:hAnsi="Times New Roman" w:cs="Times New Roman"/>
          <w:lang w:val="en-GB"/>
        </w:rPr>
        <w:t>we</w:t>
      </w:r>
      <w:r w:rsidR="006A3FA9" w:rsidRPr="00765279">
        <w:rPr>
          <w:rFonts w:ascii="Times New Roman" w:hAnsi="Times New Roman" w:cs="Times New Roman"/>
          <w:lang w:val="en-GB"/>
        </w:rPr>
        <w:t xml:space="preserve"> complement </w:t>
      </w:r>
      <w:r w:rsidRPr="00765279">
        <w:rPr>
          <w:rFonts w:ascii="Times New Roman" w:eastAsia="Aptos" w:hAnsi="Times New Roman" w:cs="Times New Roman"/>
          <w:lang w:val="en-GB"/>
        </w:rPr>
        <w:t>the literature on the determinants of TBT</w:t>
      </w:r>
      <w:r w:rsidR="006A3FA9" w:rsidRPr="00765279">
        <w:rPr>
          <w:rFonts w:ascii="Times New Roman" w:eastAsia="Aptos" w:hAnsi="Times New Roman" w:cs="Times New Roman"/>
          <w:lang w:val="en-GB"/>
        </w:rPr>
        <w:t xml:space="preserve"> </w:t>
      </w:r>
      <w:r w:rsidRPr="00765279">
        <w:rPr>
          <w:rFonts w:ascii="Times New Roman" w:hAnsi="Times New Roman" w:cs="Times New Roman"/>
          <w:lang w:val="en-GB"/>
        </w:rPr>
        <w:t xml:space="preserve">from </w:t>
      </w:r>
      <w:r w:rsidR="006A3FA9" w:rsidRPr="00765279">
        <w:rPr>
          <w:rFonts w:ascii="Times New Roman" w:hAnsi="Times New Roman" w:cs="Times New Roman"/>
          <w:lang w:val="en-GB"/>
        </w:rPr>
        <w:t>two</w:t>
      </w:r>
      <w:r w:rsidRPr="00765279">
        <w:rPr>
          <w:rFonts w:ascii="Times New Roman" w:hAnsi="Times New Roman" w:cs="Times New Roman"/>
          <w:lang w:val="en-GB"/>
        </w:rPr>
        <w:t xml:space="preserve"> points of view: </w:t>
      </w:r>
      <w:proofErr w:type="spellStart"/>
      <w:r w:rsidRPr="00765279">
        <w:rPr>
          <w:rFonts w:ascii="Times New Roman" w:hAnsi="Times New Roman" w:cs="Times New Roman"/>
          <w:i/>
          <w:iCs/>
          <w:lang w:val="en-GB"/>
        </w:rPr>
        <w:t>i</w:t>
      </w:r>
      <w:proofErr w:type="spellEnd"/>
      <w:r w:rsidRPr="00765279">
        <w:rPr>
          <w:rFonts w:ascii="Times New Roman" w:hAnsi="Times New Roman" w:cs="Times New Roman"/>
          <w:lang w:val="en-GB"/>
        </w:rPr>
        <w:t xml:space="preserve">) by </w:t>
      </w:r>
      <w:r w:rsidR="00D64706" w:rsidRPr="00765279">
        <w:rPr>
          <w:rFonts w:ascii="Times New Roman" w:hAnsi="Times New Roman" w:cs="Times New Roman"/>
          <w:lang w:val="en-GB"/>
        </w:rPr>
        <w:t>introducing</w:t>
      </w:r>
      <w:r w:rsidRPr="00765279">
        <w:rPr>
          <w:rFonts w:ascii="Times New Roman" w:hAnsi="Times New Roman" w:cs="Times New Roman"/>
          <w:lang w:val="en-GB"/>
        </w:rPr>
        <w:t xml:space="preserve"> a new explanatory variable</w:t>
      </w:r>
      <w:r w:rsidR="00D64706" w:rsidRPr="00765279">
        <w:rPr>
          <w:rFonts w:ascii="Times New Roman" w:hAnsi="Times New Roman" w:cs="Times New Roman"/>
          <w:lang w:val="en-GB"/>
        </w:rPr>
        <w:t xml:space="preserve"> - </w:t>
      </w:r>
      <w:r w:rsidRPr="00765279">
        <w:rPr>
          <w:rFonts w:ascii="Times New Roman" w:hAnsi="Times New Roman" w:cs="Times New Roman"/>
          <w:lang w:val="en-GB"/>
        </w:rPr>
        <w:t xml:space="preserve"> the presence of environmental provisions in RTAs</w:t>
      </w:r>
      <w:r w:rsidR="00D64706" w:rsidRPr="00765279">
        <w:rPr>
          <w:rFonts w:ascii="Times New Roman" w:hAnsi="Times New Roman" w:cs="Times New Roman"/>
          <w:lang w:val="en-GB"/>
        </w:rPr>
        <w:t xml:space="preserve"> - which may</w:t>
      </w:r>
      <w:r w:rsidRPr="00765279">
        <w:rPr>
          <w:rFonts w:ascii="Times New Roman" w:hAnsi="Times New Roman" w:cs="Times New Roman"/>
          <w:lang w:val="en-GB"/>
        </w:rPr>
        <w:t xml:space="preserve"> </w:t>
      </w:r>
      <w:r w:rsidR="00D64706" w:rsidRPr="00765279">
        <w:rPr>
          <w:rFonts w:ascii="Times New Roman" w:hAnsi="Times New Roman" w:cs="Times New Roman"/>
          <w:lang w:val="en-GB"/>
        </w:rPr>
        <w:t>incentivise</w:t>
      </w:r>
      <w:r w:rsidRPr="00765279">
        <w:rPr>
          <w:rFonts w:ascii="Times New Roman" w:hAnsi="Times New Roman" w:cs="Times New Roman"/>
          <w:lang w:val="en-GB"/>
        </w:rPr>
        <w:t xml:space="preserve"> </w:t>
      </w:r>
      <w:r w:rsidR="00D64706" w:rsidRPr="00765279">
        <w:rPr>
          <w:rFonts w:ascii="Times New Roman" w:hAnsi="Times New Roman" w:cs="Times New Roman"/>
          <w:lang w:val="en-GB"/>
        </w:rPr>
        <w:t xml:space="preserve">the adoption of </w:t>
      </w:r>
      <w:r w:rsidRPr="00765279">
        <w:rPr>
          <w:rFonts w:ascii="Times New Roman" w:hAnsi="Times New Roman" w:cs="Times New Roman"/>
          <w:lang w:val="en-GB"/>
        </w:rPr>
        <w:t xml:space="preserve">domestic regulation; </w:t>
      </w:r>
      <w:r w:rsidRPr="00765279">
        <w:rPr>
          <w:rFonts w:ascii="Times New Roman" w:hAnsi="Times New Roman" w:cs="Times New Roman"/>
          <w:i/>
          <w:iCs/>
          <w:lang w:val="en-GB"/>
        </w:rPr>
        <w:t>ii</w:t>
      </w:r>
      <w:r w:rsidRPr="00765279">
        <w:rPr>
          <w:rFonts w:ascii="Times New Roman" w:hAnsi="Times New Roman" w:cs="Times New Roman"/>
          <w:lang w:val="en-GB"/>
        </w:rPr>
        <w:t xml:space="preserve">) </w:t>
      </w:r>
      <w:r w:rsidR="00DC3CA8" w:rsidRPr="00765279">
        <w:rPr>
          <w:rFonts w:ascii="Times New Roman" w:hAnsi="Times New Roman" w:cs="Times New Roman"/>
          <w:lang w:val="en-GB"/>
        </w:rPr>
        <w:t xml:space="preserve">by considering the potential spillover effects of TBTs across countries, whereby the implementation of TBTs in one country may influence the adoption of similar measures in others. </w:t>
      </w:r>
      <w:r w:rsidRPr="00765279">
        <w:rPr>
          <w:rFonts w:ascii="Times New Roman" w:eastAsia="Aptos" w:hAnsi="Times New Roman" w:cs="Times New Roman"/>
          <w:lang w:val="en-GB"/>
        </w:rPr>
        <w:t xml:space="preserve">Second, </w:t>
      </w:r>
      <w:r w:rsidR="007B7D4F" w:rsidRPr="00765279">
        <w:rPr>
          <w:rFonts w:ascii="Times New Roman" w:eastAsia="Aptos" w:hAnsi="Times New Roman" w:cs="Times New Roman"/>
          <w:lang w:val="en-GB"/>
        </w:rPr>
        <w:t>we</w:t>
      </w:r>
      <w:r w:rsidRPr="00765279">
        <w:rPr>
          <w:rFonts w:ascii="Times New Roman" w:hAnsi="Times New Roman" w:cs="Times New Roman"/>
          <w:lang w:val="en-GB"/>
        </w:rPr>
        <w:t xml:space="preserve"> contribute to the </w:t>
      </w:r>
      <w:r w:rsidR="00DC3CA8" w:rsidRPr="00765279">
        <w:rPr>
          <w:rFonts w:ascii="Times New Roman" w:hAnsi="Times New Roman" w:cs="Times New Roman"/>
          <w:lang w:val="en-GB"/>
        </w:rPr>
        <w:t>emerging body of</w:t>
      </w:r>
      <w:r w:rsidRPr="00765279">
        <w:rPr>
          <w:rFonts w:ascii="Times New Roman" w:hAnsi="Times New Roman" w:cs="Times New Roman"/>
          <w:lang w:val="en-GB"/>
        </w:rPr>
        <w:t xml:space="preserve"> literature assessing the impact of specific environmental provisions of RTAs. </w:t>
      </w:r>
      <w:r w:rsidRPr="00765279">
        <w:rPr>
          <w:rFonts w:ascii="Times New Roman" w:eastAsia="Aptos" w:hAnsi="Times New Roman" w:cs="Times New Roman"/>
          <w:lang w:val="en-GB"/>
        </w:rPr>
        <w:t xml:space="preserve">To the best of our knowledge, </w:t>
      </w:r>
      <w:r w:rsidR="00585CF3" w:rsidRPr="00765279">
        <w:rPr>
          <w:rFonts w:ascii="Times New Roman" w:eastAsia="Aptos" w:hAnsi="Times New Roman" w:cs="Times New Roman"/>
          <w:lang w:val="en-GB"/>
        </w:rPr>
        <w:t>the issue of fertilizers and pesticides</w:t>
      </w:r>
      <w:r w:rsidR="00585CF3" w:rsidRPr="00765279">
        <w:rPr>
          <w:rFonts w:ascii="Times New Roman" w:hAnsi="Times New Roman" w:cs="Times New Roman"/>
          <w:lang w:val="en-GB"/>
        </w:rPr>
        <w:t xml:space="preserve"> </w:t>
      </w:r>
      <w:r w:rsidRPr="00765279">
        <w:rPr>
          <w:rFonts w:ascii="Times New Roman" w:hAnsi="Times New Roman" w:cs="Times New Roman"/>
          <w:lang w:val="en-GB"/>
        </w:rPr>
        <w:t>has not</w:t>
      </w:r>
      <w:r w:rsidR="00DC3CA8" w:rsidRPr="00765279">
        <w:rPr>
          <w:rFonts w:ascii="Times New Roman" w:hAnsi="Times New Roman" w:cs="Times New Roman"/>
          <w:lang w:val="en-GB"/>
        </w:rPr>
        <w:t xml:space="preserve"> yet been explore</w:t>
      </w:r>
      <w:r w:rsidRPr="00765279">
        <w:rPr>
          <w:rFonts w:ascii="Times New Roman" w:hAnsi="Times New Roman" w:cs="Times New Roman"/>
          <w:lang w:val="en-GB"/>
        </w:rPr>
        <w:t>d (</w:t>
      </w:r>
      <w:proofErr w:type="spellStart"/>
      <w:r w:rsidRPr="00765279">
        <w:rPr>
          <w:rFonts w:ascii="Times New Roman" w:hAnsi="Times New Roman" w:cs="Times New Roman"/>
          <w:lang w:val="en-GB"/>
        </w:rPr>
        <w:t>Abman</w:t>
      </w:r>
      <w:proofErr w:type="spellEnd"/>
      <w:r w:rsidRPr="00765279">
        <w:rPr>
          <w:rFonts w:ascii="Times New Roman" w:hAnsi="Times New Roman" w:cs="Times New Roman"/>
          <w:lang w:val="en-GB"/>
        </w:rPr>
        <w:t xml:space="preserve"> et al</w:t>
      </w:r>
      <w:r w:rsidR="00196726" w:rsidRPr="00765279">
        <w:rPr>
          <w:rFonts w:ascii="Times New Roman" w:hAnsi="Times New Roman" w:cs="Times New Roman"/>
          <w:lang w:val="en-GB"/>
        </w:rPr>
        <w:t>.,</w:t>
      </w:r>
      <w:r w:rsidRPr="00765279">
        <w:rPr>
          <w:rFonts w:ascii="Times New Roman" w:hAnsi="Times New Roman" w:cs="Times New Roman"/>
          <w:lang w:val="en-GB"/>
        </w:rPr>
        <w:t xml:space="preserve"> 2024; </w:t>
      </w:r>
      <w:proofErr w:type="spellStart"/>
      <w:r w:rsidRPr="00765279">
        <w:rPr>
          <w:rFonts w:ascii="Times New Roman" w:hAnsi="Times New Roman" w:cs="Times New Roman"/>
          <w:kern w:val="0"/>
          <w:lang w:val="en-GB"/>
          <w14:ligatures w14:val="none"/>
        </w:rPr>
        <w:t>Bayramoglu</w:t>
      </w:r>
      <w:proofErr w:type="spellEnd"/>
      <w:r w:rsidRPr="00765279">
        <w:rPr>
          <w:rFonts w:ascii="Times New Roman" w:hAnsi="Times New Roman" w:cs="Times New Roman"/>
          <w:kern w:val="0"/>
          <w:lang w:val="en-GB"/>
          <w14:ligatures w14:val="none"/>
        </w:rPr>
        <w:t xml:space="preserve"> </w:t>
      </w:r>
      <w:r w:rsidR="00196726" w:rsidRPr="00765279">
        <w:rPr>
          <w:rFonts w:ascii="Times New Roman" w:hAnsi="Times New Roman" w:cs="Times New Roman"/>
          <w:lang w:val="en-GB"/>
        </w:rPr>
        <w:t>et al.,</w:t>
      </w:r>
      <w:r w:rsidRPr="00765279">
        <w:rPr>
          <w:rFonts w:ascii="Times New Roman" w:hAnsi="Times New Roman" w:cs="Times New Roman"/>
          <w:lang w:val="en-GB"/>
        </w:rPr>
        <w:t xml:space="preserve"> 2023; </w:t>
      </w:r>
      <w:proofErr w:type="spellStart"/>
      <w:r w:rsidRPr="00765279">
        <w:rPr>
          <w:rFonts w:ascii="Times New Roman" w:hAnsi="Times New Roman" w:cs="Times New Roman"/>
          <w:lang w:val="en-GB"/>
        </w:rPr>
        <w:t>Gozlan</w:t>
      </w:r>
      <w:proofErr w:type="spellEnd"/>
      <w:r w:rsidRPr="00765279">
        <w:rPr>
          <w:rFonts w:ascii="Times New Roman" w:hAnsi="Times New Roman" w:cs="Times New Roman"/>
          <w:lang w:val="en-GB"/>
        </w:rPr>
        <w:t>, Lochard, 2024</w:t>
      </w:r>
      <w:r w:rsidR="008636B1" w:rsidRPr="00765279">
        <w:rPr>
          <w:rFonts w:ascii="Times New Roman" w:hAnsi="Times New Roman" w:cs="Times New Roman"/>
          <w:lang w:val="en-GB"/>
        </w:rPr>
        <w:t>,</w:t>
      </w:r>
      <w:r w:rsidRPr="00765279">
        <w:rPr>
          <w:rFonts w:ascii="Times New Roman" w:hAnsi="Times New Roman" w:cs="Times New Roman"/>
          <w:lang w:val="en-GB"/>
        </w:rPr>
        <w:t xml:space="preserve"> Brandi, Morin 2023). Furthermore, we contribute </w:t>
      </w:r>
      <w:r w:rsidR="00DC3CA8" w:rsidRPr="00765279">
        <w:rPr>
          <w:rFonts w:ascii="Times New Roman" w:hAnsi="Times New Roman" w:cs="Times New Roman"/>
          <w:lang w:val="en-GB"/>
        </w:rPr>
        <w:t>to improve our understanding of how international environmental commitments influence domestic regulatory outcomes, thereby contributing to the broader literature on the interplay between international agreements and national policy frameworks (Brandi et al., 2019).</w:t>
      </w:r>
    </w:p>
    <w:p w14:paraId="0BCE8523" w14:textId="0C488656" w:rsidR="00FE1590"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rPr>
      </w:pPr>
      <w:r w:rsidRPr="00765279">
        <w:rPr>
          <w:rFonts w:ascii="Times New Roman" w:hAnsi="Times New Roman" w:cs="Times New Roman"/>
        </w:rPr>
        <w:t xml:space="preserve">The </w:t>
      </w:r>
      <w:r w:rsidRPr="00765279">
        <w:rPr>
          <w:rFonts w:ascii="Times New Roman" w:eastAsia="Aptos" w:hAnsi="Times New Roman" w:cs="Times New Roman"/>
        </w:rPr>
        <w:t xml:space="preserve">remainder of this paper is organized as follows. The next section explains the data </w:t>
      </w:r>
      <w:r w:rsidRPr="00765279">
        <w:rPr>
          <w:rFonts w:ascii="Times New Roman" w:hAnsi="Times New Roman" w:cs="Times New Roman"/>
        </w:rPr>
        <w:t>use</w:t>
      </w:r>
      <w:r w:rsidRPr="00765279">
        <w:rPr>
          <w:rFonts w:ascii="Times New Roman" w:eastAsia="Aptos" w:hAnsi="Times New Roman" w:cs="Times New Roman"/>
        </w:rPr>
        <w:t xml:space="preserve">d, </w:t>
      </w:r>
      <w:r w:rsidRPr="00765279">
        <w:rPr>
          <w:rFonts w:ascii="Times New Roman" w:hAnsi="Times New Roman" w:cs="Times New Roman"/>
        </w:rPr>
        <w:t>and the third</w:t>
      </w:r>
      <w:r w:rsidR="00757F37" w:rsidRPr="00765279">
        <w:rPr>
          <w:rFonts w:ascii="Times New Roman" w:hAnsi="Times New Roman" w:cs="Times New Roman"/>
        </w:rPr>
        <w:t xml:space="preserve"> illustrates our empirical strategy. The f</w:t>
      </w:r>
      <w:r w:rsidR="003C2F85" w:rsidRPr="00765279">
        <w:rPr>
          <w:rFonts w:ascii="Times New Roman" w:hAnsi="Times New Roman" w:cs="Times New Roman"/>
        </w:rPr>
        <w:t>ourth</w:t>
      </w:r>
      <w:r w:rsidRPr="00765279">
        <w:rPr>
          <w:rFonts w:ascii="Times New Roman" w:hAnsi="Times New Roman" w:cs="Times New Roman"/>
        </w:rPr>
        <w:t xml:space="preserve"> section</w:t>
      </w:r>
      <w:r w:rsidR="00757F37" w:rsidRPr="00765279">
        <w:rPr>
          <w:rFonts w:ascii="Times New Roman" w:hAnsi="Times New Roman" w:cs="Times New Roman"/>
        </w:rPr>
        <w:t xml:space="preserve"> discuss</w:t>
      </w:r>
      <w:r w:rsidRPr="00765279">
        <w:rPr>
          <w:rFonts w:ascii="Times New Roman" w:eastAsia="Aptos" w:hAnsi="Times New Roman" w:cs="Times New Roman"/>
        </w:rPr>
        <w:t xml:space="preserve">es the </w:t>
      </w:r>
      <w:r w:rsidRPr="00765279">
        <w:rPr>
          <w:rFonts w:ascii="Times New Roman" w:hAnsi="Times New Roman" w:cs="Times New Roman"/>
        </w:rPr>
        <w:t>results</w:t>
      </w:r>
      <w:r w:rsidR="00757F37" w:rsidRPr="00765279">
        <w:rPr>
          <w:rFonts w:ascii="Times New Roman" w:hAnsi="Times New Roman" w:cs="Times New Roman"/>
        </w:rPr>
        <w:t xml:space="preserve">, </w:t>
      </w:r>
      <w:r w:rsidR="003C2F85" w:rsidRPr="00765279">
        <w:rPr>
          <w:rFonts w:ascii="Times New Roman" w:hAnsi="Times New Roman" w:cs="Times New Roman"/>
        </w:rPr>
        <w:t>while</w:t>
      </w:r>
      <w:r w:rsidR="00757F37" w:rsidRPr="00765279">
        <w:rPr>
          <w:rFonts w:ascii="Times New Roman" w:hAnsi="Times New Roman" w:cs="Times New Roman"/>
        </w:rPr>
        <w:t xml:space="preserve"> the </w:t>
      </w:r>
      <w:r w:rsidRPr="00765279">
        <w:rPr>
          <w:rFonts w:ascii="Times New Roman" w:hAnsi="Times New Roman" w:cs="Times New Roman"/>
        </w:rPr>
        <w:t xml:space="preserve">final </w:t>
      </w:r>
      <w:r w:rsidR="003C2F85" w:rsidRPr="00765279">
        <w:rPr>
          <w:rFonts w:ascii="Times New Roman" w:eastAsia="Aptos" w:hAnsi="Times New Roman" w:cs="Times New Roman"/>
        </w:rPr>
        <w:t>one</w:t>
      </w:r>
      <w:r w:rsidRPr="00765279">
        <w:rPr>
          <w:rFonts w:ascii="Times New Roman" w:eastAsia="Aptos" w:hAnsi="Times New Roman" w:cs="Times New Roman"/>
        </w:rPr>
        <w:t xml:space="preserve"> offers concluding remarks. </w:t>
      </w:r>
    </w:p>
    <w:p w14:paraId="72660787" w14:textId="77777777" w:rsidR="00FE1590" w:rsidRPr="00765279" w:rsidRDefault="00FE1590" w:rsidP="00804F9D">
      <w:pPr>
        <w:spacing w:before="120" w:line="276" w:lineRule="auto"/>
        <w:ind w:right="-1" w:firstLine="142"/>
        <w:jc w:val="both"/>
        <w:rPr>
          <w:rFonts w:ascii="Times New Roman" w:hAnsi="Times New Roman" w:cs="Times New Roman"/>
          <w:lang w:val="en-GB"/>
        </w:rPr>
      </w:pPr>
    </w:p>
    <w:p w14:paraId="6F5E8BA9" w14:textId="5A55162D" w:rsidR="00FE1590" w:rsidRPr="00765279" w:rsidRDefault="00000000" w:rsidP="00804F9D">
      <w:pPr>
        <w:pStyle w:val="Paragrafoelenco"/>
        <w:numPr>
          <w:ilvl w:val="0"/>
          <w:numId w:val="3"/>
        </w:numPr>
        <w:spacing w:before="120" w:line="276" w:lineRule="auto"/>
        <w:ind w:right="-1"/>
        <w:jc w:val="both"/>
        <w:rPr>
          <w:rFonts w:ascii="Times New Roman" w:hAnsi="Times New Roman" w:cs="Times New Roman"/>
          <w:b/>
          <w:bCs/>
        </w:rPr>
      </w:pPr>
      <w:r w:rsidRPr="00765279">
        <w:rPr>
          <w:rFonts w:ascii="Times New Roman" w:hAnsi="Times New Roman" w:cs="Times New Roman"/>
          <w:b/>
          <w:bCs/>
        </w:rPr>
        <w:t>Data</w:t>
      </w:r>
    </w:p>
    <w:p w14:paraId="1920D1B3" w14:textId="77777777" w:rsidR="00FE1590" w:rsidRPr="00765279" w:rsidRDefault="00000000" w:rsidP="00804F9D">
      <w:pPr>
        <w:spacing w:before="120" w:line="276" w:lineRule="auto"/>
        <w:ind w:right="-1" w:firstLine="142"/>
        <w:jc w:val="both"/>
        <w:rPr>
          <w:rFonts w:ascii="Times New Roman" w:hAnsi="Times New Roman" w:cs="Times New Roman"/>
          <w:i/>
          <w:iCs/>
        </w:rPr>
      </w:pPr>
      <w:r w:rsidRPr="00765279">
        <w:rPr>
          <w:rFonts w:ascii="Times New Roman" w:hAnsi="Times New Roman" w:cs="Times New Roman"/>
          <w:i/>
          <w:iCs/>
        </w:rPr>
        <w:t xml:space="preserve">2.1. TBT </w:t>
      </w:r>
    </w:p>
    <w:p w14:paraId="1B198AE2" w14:textId="5CFE0217" w:rsidR="00FE1590" w:rsidRPr="00765279" w:rsidRDefault="00A53BF1" w:rsidP="005549B3">
      <w:pPr>
        <w:pStyle w:val="NormaleWeb"/>
        <w:spacing w:before="120" w:beforeAutospacing="0" w:after="0" w:afterAutospacing="0" w:line="276" w:lineRule="auto"/>
        <w:ind w:firstLine="284"/>
        <w:jc w:val="both"/>
        <w:rPr>
          <w:i/>
          <w:iCs/>
          <w:color w:val="0D0D0D" w:themeColor="text1" w:themeTint="F2"/>
          <w:lang w:val="en-GB"/>
        </w:rPr>
      </w:pPr>
      <w:r w:rsidRPr="00765279">
        <w:rPr>
          <w:lang w:val="en-GB"/>
        </w:rPr>
        <w:t>According to the WTO Agreement on TBT</w:t>
      </w:r>
      <w:r w:rsidR="00522F63" w:rsidRPr="00765279">
        <w:rPr>
          <w:lang w:val="en-GB"/>
        </w:rPr>
        <w:t>s</w:t>
      </w:r>
      <w:r w:rsidRPr="00765279">
        <w:rPr>
          <w:lang w:val="en-GB"/>
        </w:rPr>
        <w:t xml:space="preserve">, member countries are required to notify any technical regulations that may affect international trade. Technical standards concerning the production and use of fertilizers and pesticides are often introduced with the primary objectives of protecting human health and the environment. These standards typically apply equally to domestically produced and imported goods. For example, the European Union’s REACH program (Registration, Evaluation, Authorisation and Restriction of Chemicals) imposes obligations on </w:t>
      </w:r>
      <w:r w:rsidRPr="00765279">
        <w:rPr>
          <w:lang w:val="en-GB"/>
        </w:rPr>
        <w:lastRenderedPageBreak/>
        <w:t>both manufacturers and importers. Consequently, any regulations adopted under such frameworks should, in principle, be notified to the WTO as TBTs.</w:t>
      </w:r>
      <w:r w:rsidRPr="00765279">
        <w:rPr>
          <w:i/>
          <w:iCs/>
          <w:color w:val="0D0D0D" w:themeColor="text1" w:themeTint="F2"/>
          <w:lang w:val="en-GB"/>
        </w:rPr>
        <w:t xml:space="preserve"> </w:t>
      </w:r>
      <w:r w:rsidR="00AF07AC" w:rsidRPr="00765279">
        <w:rPr>
          <w:rStyle w:val="Rimandonotaapidipagina"/>
          <w:color w:val="0D0D0D" w:themeColor="text1" w:themeTint="F2"/>
          <w:lang w:val="en-GB"/>
        </w:rPr>
        <w:footnoteReference w:id="4"/>
      </w:r>
    </w:p>
    <w:p w14:paraId="640BD3BD" w14:textId="6767746C" w:rsidR="00A53BF1" w:rsidRPr="00765279" w:rsidRDefault="00A53BF1" w:rsidP="005549B3">
      <w:pPr>
        <w:pStyle w:val="NormaleWeb"/>
        <w:spacing w:before="120" w:beforeAutospacing="0" w:after="0" w:afterAutospacing="0" w:line="276" w:lineRule="auto"/>
        <w:ind w:firstLine="284"/>
        <w:jc w:val="both"/>
        <w:rPr>
          <w:lang w:val="en-GB"/>
        </w:rPr>
      </w:pPr>
      <w:r w:rsidRPr="00765279">
        <w:rPr>
          <w:lang w:val="en-GB"/>
        </w:rPr>
        <w:t xml:space="preserve">In this context, we consider TBT notifications a reasonable proxy for the presence and evolution of domestic regulatory activity related to agrochemicals. To construct our dataset, we initially identified all TBT notifications submitted to the WTO that relate to the regulation of fertilizers and pesticides. </w:t>
      </w:r>
      <w:r w:rsidRPr="00765279">
        <w:rPr>
          <w:rStyle w:val="Rimandonotaapidipagina"/>
          <w:lang w:val="en-GB"/>
        </w:rPr>
        <w:footnoteReference w:id="5"/>
      </w:r>
      <w:r w:rsidRPr="00765279">
        <w:rPr>
          <w:lang w:val="en-GB"/>
        </w:rPr>
        <w:t xml:space="preserve"> Our data reveal a total of 1,813 such TBTs.</w:t>
      </w:r>
    </w:p>
    <w:p w14:paraId="6A9D6AE8" w14:textId="7D30AAFE" w:rsidR="00A53BF1" w:rsidRPr="00765279" w:rsidRDefault="00A53BF1" w:rsidP="005549B3">
      <w:pPr>
        <w:pStyle w:val="NormaleWeb"/>
        <w:spacing w:before="120" w:beforeAutospacing="0" w:after="0" w:afterAutospacing="0" w:line="276" w:lineRule="auto"/>
        <w:ind w:firstLine="284"/>
        <w:jc w:val="both"/>
        <w:rPr>
          <w:lang w:val="en-GB"/>
        </w:rPr>
      </w:pPr>
      <w:r w:rsidRPr="00765279">
        <w:rPr>
          <w:lang w:val="en-GB"/>
        </w:rPr>
        <w:t>Using this information, we developed a balanced panel dataset covering 142 countries over the period from 1995 to 2017. During this timeframe, the number of TBT notifications concerning fertilizers and pesticides increased significantly. Although the share of developing countries in total TBT notifications was relatively low at the beginning of the period—around 2% in 1995—it rose steadily to 21% by 2017 (see Figure 1). Notably, Brazil alone accounted for approximately one-sixth of developing-country notifications in 2017. Among developed economies, the European Union accounted for about 56% of total TBT notifications in 2017, whereas the United States contributed a substantially smaller share (5%).</w:t>
      </w:r>
    </w:p>
    <w:p w14:paraId="7F26880B" w14:textId="25FC2908" w:rsidR="00FE1590" w:rsidRPr="00765279" w:rsidRDefault="00000000" w:rsidP="005549B3">
      <w:pPr>
        <w:spacing w:before="120" w:line="276" w:lineRule="auto"/>
        <w:ind w:right="-1" w:firstLine="142"/>
        <w:jc w:val="both"/>
        <w:rPr>
          <w:rFonts w:ascii="Times New Roman" w:hAnsi="Times New Roman" w:cs="Times New Roman"/>
          <w:i/>
          <w:iCs/>
        </w:rPr>
      </w:pPr>
      <w:r w:rsidRPr="00765279">
        <w:rPr>
          <w:rFonts w:ascii="Times New Roman" w:hAnsi="Times New Roman" w:cs="Times New Roman"/>
          <w:i/>
          <w:iCs/>
        </w:rPr>
        <w:t>2.2</w:t>
      </w:r>
      <w:r w:rsidR="00920183" w:rsidRPr="00765279">
        <w:rPr>
          <w:rFonts w:ascii="Times New Roman" w:hAnsi="Times New Roman" w:cs="Times New Roman"/>
          <w:i/>
          <w:iCs/>
        </w:rPr>
        <w:t>.</w:t>
      </w:r>
      <w:r w:rsidRPr="00765279">
        <w:rPr>
          <w:rFonts w:ascii="Times New Roman" w:hAnsi="Times New Roman" w:cs="Times New Roman"/>
          <w:i/>
          <w:iCs/>
        </w:rPr>
        <w:t xml:space="preserve"> RTA provisions</w:t>
      </w:r>
    </w:p>
    <w:p w14:paraId="14D06EC9" w14:textId="561CE9E1" w:rsidR="00901E35" w:rsidRPr="00765279" w:rsidRDefault="00901E35" w:rsidP="005549B3">
      <w:pPr>
        <w:pStyle w:val="norme"/>
        <w:numPr>
          <w:ilvl w:val="0"/>
          <w:numId w:val="0"/>
        </w:numPr>
        <w:spacing w:before="120" w:line="276" w:lineRule="auto"/>
        <w:ind w:right="-1" w:firstLine="142"/>
        <w:jc w:val="both"/>
        <w:rPr>
          <w:b w:val="0"/>
          <w:bCs/>
          <w:lang w:val="en-GB"/>
        </w:rPr>
      </w:pPr>
      <w:r w:rsidRPr="00765279">
        <w:rPr>
          <w:b w:val="0"/>
          <w:bCs/>
          <w:lang w:val="en-GB"/>
        </w:rPr>
        <w:t xml:space="preserve">We gathered data from the most recent version of the Trade &amp; Environment Database (TREND), which classifies 300 types of environmental provisions across 775 RTAs (Morin et al., 2018b). </w:t>
      </w:r>
      <w:r w:rsidRPr="00765279">
        <w:rPr>
          <w:rStyle w:val="Rimandonotaapidipagina"/>
          <w:b w:val="0"/>
          <w:bCs/>
          <w:lang w:val="en-GB"/>
        </w:rPr>
        <w:footnoteReference w:id="6"/>
      </w:r>
      <w:r w:rsidRPr="00765279">
        <w:rPr>
          <w:b w:val="0"/>
          <w:bCs/>
          <w:lang w:val="en-GB"/>
        </w:rPr>
        <w:t xml:space="preserve"> </w:t>
      </w:r>
      <w:r w:rsidR="00BE6549" w:rsidRPr="00765279">
        <w:rPr>
          <w:b w:val="0"/>
          <w:bCs/>
          <w:lang w:val="en-GB"/>
        </w:rPr>
        <w:t>W</w:t>
      </w:r>
      <w:r w:rsidRPr="00765279">
        <w:rPr>
          <w:b w:val="0"/>
          <w:bCs/>
          <w:lang w:val="en-GB"/>
        </w:rPr>
        <w:t xml:space="preserve">e focus on </w:t>
      </w:r>
      <w:r w:rsidR="00BE6549" w:rsidRPr="00765279">
        <w:rPr>
          <w:b w:val="0"/>
          <w:bCs/>
          <w:lang w:val="en-GB"/>
        </w:rPr>
        <w:t>the</w:t>
      </w:r>
      <w:r w:rsidRPr="00765279">
        <w:rPr>
          <w:b w:val="0"/>
          <w:bCs/>
          <w:lang w:val="en-GB"/>
        </w:rPr>
        <w:t xml:space="preserve"> specific variable from the TREND dataset</w:t>
      </w:r>
      <w:r w:rsidR="00BE6549" w:rsidRPr="00765279">
        <w:rPr>
          <w:b w:val="0"/>
          <w:bCs/>
          <w:lang w:val="en-GB"/>
        </w:rPr>
        <w:t xml:space="preserve"> </w:t>
      </w:r>
      <w:r w:rsidRPr="00765279">
        <w:rPr>
          <w:rStyle w:val="Enfasigrassetto"/>
          <w:i/>
          <w:iCs/>
          <w:lang w:val="en-GB"/>
        </w:rPr>
        <w:t>10.25: Pesticides, fertilizers, toxic or hazardous products and chemicals</w:t>
      </w:r>
      <w:r w:rsidRPr="00765279">
        <w:rPr>
          <w:i/>
          <w:iCs/>
          <w:lang w:val="en-GB"/>
        </w:rPr>
        <w:t xml:space="preserve">, </w:t>
      </w:r>
      <w:r w:rsidRPr="00765279">
        <w:rPr>
          <w:b w:val="0"/>
          <w:bCs/>
          <w:lang w:val="en-GB"/>
        </w:rPr>
        <w:t xml:space="preserve">which captures provisions with explicit environmental relevance. </w:t>
      </w:r>
      <w:r w:rsidR="00BE6549" w:rsidRPr="00765279">
        <w:rPr>
          <w:b w:val="0"/>
          <w:bCs/>
          <w:lang w:val="en-GB"/>
        </w:rPr>
        <w:t>To expand our analysis, we also consider the</w:t>
      </w:r>
      <w:r w:rsidRPr="00765279">
        <w:rPr>
          <w:b w:val="0"/>
          <w:bCs/>
          <w:lang w:val="en-GB"/>
        </w:rPr>
        <w:t xml:space="preserve"> variable </w:t>
      </w:r>
      <w:r w:rsidRPr="00765279">
        <w:rPr>
          <w:rStyle w:val="Enfasigrassetto"/>
          <w:i/>
          <w:iCs/>
          <w:lang w:val="en-GB"/>
        </w:rPr>
        <w:t>10.26: Organic foods</w:t>
      </w:r>
      <w:r w:rsidRPr="00765279">
        <w:rPr>
          <w:i/>
          <w:iCs/>
          <w:lang w:val="en-GB"/>
        </w:rPr>
        <w:t>,</w:t>
      </w:r>
      <w:r w:rsidRPr="00765279">
        <w:rPr>
          <w:b w:val="0"/>
          <w:bCs/>
          <w:lang w:val="en-GB"/>
        </w:rPr>
        <w:t xml:space="preserve"> which captures commitments aimed at promoting organic production</w:t>
      </w:r>
      <w:r w:rsidR="003746D1" w:rsidRPr="00765279">
        <w:rPr>
          <w:b w:val="0"/>
          <w:bCs/>
          <w:lang w:val="en-GB"/>
        </w:rPr>
        <w:t>;</w:t>
      </w:r>
      <w:r w:rsidRPr="00765279">
        <w:rPr>
          <w:b w:val="0"/>
          <w:bCs/>
          <w:lang w:val="en-GB"/>
        </w:rPr>
        <w:t xml:space="preserve"> </w:t>
      </w:r>
      <w:r w:rsidR="003746D1" w:rsidRPr="00765279">
        <w:rPr>
          <w:b w:val="0"/>
          <w:bCs/>
          <w:lang w:val="en-GB"/>
        </w:rPr>
        <w:t>this may lead to the introduction of new regulations on</w:t>
      </w:r>
      <w:r w:rsidRPr="00765279">
        <w:rPr>
          <w:b w:val="0"/>
          <w:bCs/>
          <w:lang w:val="en-GB"/>
        </w:rPr>
        <w:t xml:space="preserve"> the use of fertilizers and pesticides.</w:t>
      </w:r>
    </w:p>
    <w:p w14:paraId="1B36BFA8" w14:textId="77777777" w:rsidR="00901E35" w:rsidRPr="00765279" w:rsidRDefault="00901E35" w:rsidP="005549B3">
      <w:pPr>
        <w:pStyle w:val="NormaleWeb"/>
        <w:spacing w:before="120" w:beforeAutospacing="0" w:after="0" w:afterAutospacing="0" w:line="276" w:lineRule="auto"/>
        <w:jc w:val="both"/>
        <w:rPr>
          <w:lang w:val="en-GB"/>
        </w:rPr>
      </w:pPr>
      <w:r w:rsidRPr="00765279">
        <w:rPr>
          <w:lang w:val="en-GB"/>
        </w:rPr>
        <w:t>According to the TREND database, 79 RTAs include provisions specifically concerning fertilizers and pesticides, and these agreements span a broad geographical range: 32 involve the European Union, 30 involve countries in the Americas, and 27 involve Asian countries. In contrast, only five RTAs involve African countries and three include Oceania. Provisions related to organic foods appear in 16 RTAs, the majority of which also involve the European Union.</w:t>
      </w:r>
    </w:p>
    <w:p w14:paraId="797E3A6B" w14:textId="4F9A9F11" w:rsidR="00901E35" w:rsidRPr="00765279" w:rsidRDefault="00901E35" w:rsidP="005549B3">
      <w:pPr>
        <w:pStyle w:val="NormaleWeb"/>
        <w:spacing w:before="120" w:beforeAutospacing="0" w:after="0" w:afterAutospacing="0" w:line="276" w:lineRule="auto"/>
        <w:jc w:val="both"/>
        <w:rPr>
          <w:lang w:val="en-GB"/>
        </w:rPr>
      </w:pPr>
      <w:r w:rsidRPr="00765279">
        <w:rPr>
          <w:lang w:val="en-GB"/>
        </w:rPr>
        <w:t>Over the past decade, the number of RTAs containing provisions on fertilizers and pesticides has increased, mirroring the broader trend of deepening trade agreements. The language and content of these provisions vary across RTAs but commonly include commitments to</w:t>
      </w:r>
      <w:r w:rsidR="007E05EE" w:rsidRPr="00765279">
        <w:rPr>
          <w:lang w:val="en-GB"/>
        </w:rPr>
        <w:t xml:space="preserve"> e</w:t>
      </w:r>
      <w:r w:rsidRPr="00765279">
        <w:rPr>
          <w:lang w:val="en-GB"/>
        </w:rPr>
        <w:t>nsure compliance with internationally recognized standards</w:t>
      </w:r>
      <w:r w:rsidR="007E05EE" w:rsidRPr="00765279">
        <w:rPr>
          <w:lang w:val="en-GB"/>
        </w:rPr>
        <w:t>; c</w:t>
      </w:r>
      <w:r w:rsidRPr="00765279">
        <w:rPr>
          <w:lang w:val="en-GB"/>
        </w:rPr>
        <w:t>ooperate on the safe handling and marketing of agrochemicals</w:t>
      </w:r>
      <w:r w:rsidR="007E05EE" w:rsidRPr="00765279">
        <w:rPr>
          <w:lang w:val="en-GB"/>
        </w:rPr>
        <w:t>; p</w:t>
      </w:r>
      <w:r w:rsidRPr="00765279">
        <w:rPr>
          <w:lang w:val="en-GB"/>
        </w:rPr>
        <w:t>rohibit the export of agrochemicals banned domestically</w:t>
      </w:r>
      <w:r w:rsidR="007E05EE" w:rsidRPr="00765279">
        <w:rPr>
          <w:lang w:val="en-GB"/>
        </w:rPr>
        <w:t>; p</w:t>
      </w:r>
      <w:r w:rsidRPr="00765279">
        <w:rPr>
          <w:lang w:val="en-GB"/>
        </w:rPr>
        <w:t>romote regulatory harmonization.</w:t>
      </w:r>
      <w:r w:rsidR="00245FF0" w:rsidRPr="00765279">
        <w:rPr>
          <w:lang w:val="en-GB"/>
        </w:rPr>
        <w:t xml:space="preserve"> </w:t>
      </w:r>
      <w:r w:rsidRPr="00765279">
        <w:rPr>
          <w:lang w:val="en-GB"/>
        </w:rPr>
        <w:t>Provisions on organic foods often include commitments to support organic production and marketing and to adopt relevant standards.</w:t>
      </w:r>
    </w:p>
    <w:p w14:paraId="240E2A3E" w14:textId="1BE49F3B" w:rsidR="00FE1590" w:rsidRPr="00765279" w:rsidRDefault="00901E35" w:rsidP="005549B3">
      <w:pPr>
        <w:pStyle w:val="NormaleWeb"/>
        <w:spacing w:before="120" w:beforeAutospacing="0" w:after="0" w:afterAutospacing="0" w:line="276" w:lineRule="auto"/>
        <w:jc w:val="both"/>
        <w:rPr>
          <w:b/>
          <w:bCs/>
          <w:lang w:val="en-CA"/>
        </w:rPr>
      </w:pPr>
      <w:r w:rsidRPr="00765279">
        <w:rPr>
          <w:lang w:val="en-GB"/>
        </w:rPr>
        <w:t>Based on these data, we construct two annual country-level variables: the number of RTAs in force each year that include provisions on (</w:t>
      </w:r>
      <w:proofErr w:type="spellStart"/>
      <w:r w:rsidRPr="00765279">
        <w:rPr>
          <w:lang w:val="en-GB"/>
        </w:rPr>
        <w:t>i</w:t>
      </w:r>
      <w:proofErr w:type="spellEnd"/>
      <w:r w:rsidRPr="00765279">
        <w:rPr>
          <w:lang w:val="en-GB"/>
        </w:rPr>
        <w:t xml:space="preserve">) fertilizers and pesticides and (ii) organic food. Figures 2 and 3 illustrate the evolution of these variables over time. Notably, provisions have increased </w:t>
      </w:r>
      <w:r w:rsidRPr="00765279">
        <w:rPr>
          <w:lang w:val="en-GB"/>
        </w:rPr>
        <w:lastRenderedPageBreak/>
        <w:t>significantly since 2013, largely driven by the expansion of the European Union’s deep trade agreements.</w:t>
      </w:r>
      <w:r w:rsidRPr="00765279">
        <w:rPr>
          <w:bCs/>
          <w:lang w:val="en-CA"/>
        </w:rPr>
        <w:t xml:space="preserve"> </w:t>
      </w:r>
      <w:r w:rsidRPr="00765279">
        <w:rPr>
          <w:rStyle w:val="Rimandonotaapidipagina"/>
          <w:bCs/>
          <w:lang w:val="en-CA"/>
        </w:rPr>
        <w:footnoteReference w:id="7"/>
      </w:r>
    </w:p>
    <w:p w14:paraId="4E775009" w14:textId="77777777" w:rsidR="00FE1590" w:rsidRPr="00765279" w:rsidRDefault="00000000" w:rsidP="005549B3">
      <w:pPr>
        <w:spacing w:before="120" w:line="276" w:lineRule="auto"/>
        <w:ind w:right="-1" w:firstLine="142"/>
        <w:jc w:val="both"/>
        <w:rPr>
          <w:rFonts w:ascii="Times New Roman" w:hAnsi="Times New Roman" w:cs="Times New Roman"/>
          <w:i/>
          <w:iCs/>
        </w:rPr>
      </w:pPr>
      <w:r w:rsidRPr="00765279">
        <w:rPr>
          <w:rFonts w:ascii="Times New Roman" w:hAnsi="Times New Roman" w:cs="Times New Roman"/>
          <w:i/>
          <w:iCs/>
          <w:lang w:val="en-GB"/>
        </w:rPr>
        <w:t xml:space="preserve">2.3. </w:t>
      </w:r>
      <w:r w:rsidRPr="00765279">
        <w:rPr>
          <w:rFonts w:ascii="Times New Roman" w:hAnsi="Times New Roman" w:cs="Times New Roman"/>
          <w:i/>
          <w:iCs/>
        </w:rPr>
        <w:t>Control variables</w:t>
      </w:r>
    </w:p>
    <w:p w14:paraId="524635FF" w14:textId="1BC94663" w:rsidR="00FE1590" w:rsidRPr="00765279" w:rsidRDefault="00920183" w:rsidP="005549B3">
      <w:pPr>
        <w:spacing w:before="120" w:line="276" w:lineRule="auto"/>
        <w:jc w:val="both"/>
        <w:rPr>
          <w:rFonts w:ascii="Times New Roman" w:eastAsia="Times New Roman" w:hAnsi="Times New Roman" w:cs="Times New Roman"/>
          <w:kern w:val="0"/>
          <w:lang w:val="en-GB" w:eastAsia="it-IT"/>
          <w14:ligatures w14:val="none"/>
        </w:rPr>
      </w:pPr>
      <w:r w:rsidRPr="00765279">
        <w:rPr>
          <w:rFonts w:ascii="Times New Roman" w:eastAsia="Times New Roman" w:hAnsi="Times New Roman" w:cs="Times New Roman"/>
          <w:kern w:val="0"/>
          <w:lang w:val="en-GB" w:eastAsia="it-IT"/>
          <w14:ligatures w14:val="none"/>
        </w:rPr>
        <w:t xml:space="preserve">We include two key time-varying country-level control variables in our empirical analysis. </w:t>
      </w:r>
      <w:r w:rsidRPr="00765279">
        <w:rPr>
          <w:rFonts w:ascii="Times New Roman" w:hAnsi="Times New Roman" w:cs="Times New Roman"/>
          <w:lang w:val="en-GB"/>
        </w:rPr>
        <w:t xml:space="preserve">The first variable is tariff. </w:t>
      </w:r>
      <w:r w:rsidRPr="00765279">
        <w:rPr>
          <w:rFonts w:ascii="Times New Roman" w:eastAsia="Times New Roman" w:hAnsi="Times New Roman" w:cs="Times New Roman"/>
          <w:kern w:val="0"/>
          <w:lang w:val="en-GB" w:eastAsia="it-IT"/>
          <w14:ligatures w14:val="none"/>
        </w:rPr>
        <w:t>A well-established hypothesis in the literature on non-tariff measures suggests that as tariffs decline, governments may increase the use of non-tariff measures —including TBTs—as alternative tools to protect domestic industries. In this view, TBTs serve as substitutes for tariff protection (</w:t>
      </w:r>
      <w:proofErr w:type="spellStart"/>
      <w:r w:rsidRPr="00765279">
        <w:rPr>
          <w:rFonts w:ascii="Times New Roman" w:eastAsia="Times New Roman" w:hAnsi="Times New Roman" w:cs="Times New Roman"/>
          <w:kern w:val="0"/>
          <w:lang w:val="en-GB" w:eastAsia="it-IT"/>
          <w14:ligatures w14:val="none"/>
        </w:rPr>
        <w:t>Beverelli</w:t>
      </w:r>
      <w:proofErr w:type="spellEnd"/>
      <w:r w:rsidRPr="00765279">
        <w:rPr>
          <w:rFonts w:ascii="Times New Roman" w:eastAsia="Times New Roman" w:hAnsi="Times New Roman" w:cs="Times New Roman"/>
          <w:kern w:val="0"/>
          <w:lang w:val="en-GB" w:eastAsia="it-IT"/>
          <w14:ligatures w14:val="none"/>
        </w:rPr>
        <w:t xml:space="preserve"> et al., 2014). Several empirical studies support this hypothesis, particularly for TBTs (e.g., Ghodsi, 2018; Orefice, 2017), although the evidence is more mixed for Sanitary and Phytosanitary (SPS) measures (Boza &amp; Muñoz, 2017; Orefice, 2017).</w:t>
      </w:r>
      <w:r w:rsidR="00442153" w:rsidRPr="00765279">
        <w:rPr>
          <w:rFonts w:ascii="Times New Roman" w:eastAsia="Times New Roman" w:hAnsi="Times New Roman" w:cs="Times New Roman"/>
          <w:kern w:val="0"/>
          <w:lang w:val="en-GB" w:eastAsia="it-IT"/>
          <w14:ligatures w14:val="none"/>
        </w:rPr>
        <w:t xml:space="preserve"> </w:t>
      </w:r>
      <w:r w:rsidRPr="00765279">
        <w:rPr>
          <w:rFonts w:ascii="Times New Roman" w:eastAsia="Times New Roman" w:hAnsi="Times New Roman" w:cs="Times New Roman"/>
          <w:kern w:val="0"/>
          <w:lang w:val="en-GB" w:eastAsia="it-IT"/>
          <w14:ligatures w14:val="none"/>
        </w:rPr>
        <w:t>Following this literature, we expect a negative relationship between tariffs and TBTs. We source tariff data from the World Bank's World Integrated Trade Solution (WITS) database and consider average applied tariffs for three product categories: fertilizers, pesticides, and the broader agricultural sector.</w:t>
      </w:r>
    </w:p>
    <w:p w14:paraId="22EA5C7D" w14:textId="0D37F5F8" w:rsidR="00920183" w:rsidRPr="00765279" w:rsidRDefault="00920183" w:rsidP="005549B3">
      <w:pPr>
        <w:spacing w:before="120" w:line="276" w:lineRule="auto"/>
        <w:jc w:val="both"/>
        <w:rPr>
          <w:rFonts w:ascii="Times New Roman" w:eastAsia="Times New Roman" w:hAnsi="Times New Roman" w:cs="Times New Roman"/>
          <w:kern w:val="0"/>
          <w:lang w:val="en-GB" w:eastAsia="it-IT"/>
          <w14:ligatures w14:val="none"/>
        </w:rPr>
      </w:pPr>
      <w:r w:rsidRPr="00765279">
        <w:rPr>
          <w:rFonts w:ascii="Times New Roman" w:eastAsia="Times New Roman" w:hAnsi="Times New Roman" w:cs="Times New Roman"/>
          <w:kern w:val="0"/>
          <w:lang w:val="en-GB" w:eastAsia="it-IT"/>
          <w14:ligatures w14:val="none"/>
        </w:rPr>
        <w:t xml:space="preserve">The second control variable captures each country's environmental performance in managing fertilizers and pesticides. Stronger environmental performance is often associated with heightened awareness of health and environmental risks, which in turn may motivate the adoption of stricter technical regulations. </w:t>
      </w:r>
      <w:r w:rsidRPr="00765279">
        <w:rPr>
          <w:rFonts w:ascii="Times New Roman" w:hAnsi="Times New Roman" w:cs="Times New Roman"/>
          <w:lang w:val="en-GB"/>
        </w:rPr>
        <w:t xml:space="preserve">Limited empirical evidence on the impact of health and environmental concerns on non-tariff measures shows mixed results. While the overall </w:t>
      </w:r>
      <w:r w:rsidRPr="00765279">
        <w:rPr>
          <w:rFonts w:ascii="Times New Roman" w:hAnsi="Times New Roman" w:cs="Times New Roman"/>
          <w:i/>
          <w:iCs/>
          <w:lang w:val="en-GB"/>
        </w:rPr>
        <w:t>Environmental Performance Index</w:t>
      </w:r>
      <w:r w:rsidRPr="00765279">
        <w:rPr>
          <w:rFonts w:ascii="Times New Roman" w:hAnsi="Times New Roman" w:cs="Times New Roman"/>
          <w:lang w:val="en-GB"/>
        </w:rPr>
        <w:t xml:space="preserve"> (</w:t>
      </w:r>
      <w:r w:rsidRPr="00765279">
        <w:rPr>
          <w:rFonts w:ascii="Times New Roman" w:hAnsi="Times New Roman" w:cs="Times New Roman"/>
          <w:i/>
          <w:iCs/>
          <w:lang w:val="en-GB"/>
        </w:rPr>
        <w:t>EPI</w:t>
      </w:r>
      <w:r w:rsidRPr="00765279">
        <w:rPr>
          <w:rFonts w:ascii="Times New Roman" w:hAnsi="Times New Roman" w:cs="Times New Roman"/>
          <w:lang w:val="en-GB"/>
        </w:rPr>
        <w:t>) has been found to positively affect TBT (Ghodsi, 2018), public health expenditure appears not to affect Sanitary and Phytosanitary measures (Boza, Munos 2017).</w:t>
      </w:r>
    </w:p>
    <w:p w14:paraId="6A925179" w14:textId="4F3599DB" w:rsidR="00FE1590" w:rsidRPr="00765279" w:rsidRDefault="00920183" w:rsidP="005549B3">
      <w:pPr>
        <w:autoSpaceDE w:val="0"/>
        <w:autoSpaceDN w:val="0"/>
        <w:adjustRightInd w:val="0"/>
        <w:spacing w:before="120" w:line="276" w:lineRule="auto"/>
        <w:ind w:right="-1" w:firstLine="142"/>
        <w:jc w:val="both"/>
        <w:rPr>
          <w:rFonts w:ascii="Times New Roman" w:hAnsi="Times New Roman" w:cs="Times New Roman"/>
          <w:lang w:val="en-GB"/>
        </w:rPr>
      </w:pPr>
      <w:r w:rsidRPr="00765279">
        <w:rPr>
          <w:rFonts w:ascii="Times New Roman" w:eastAsia="Times New Roman" w:hAnsi="Times New Roman" w:cs="Times New Roman"/>
          <w:kern w:val="0"/>
          <w:lang w:val="en-GB" w:eastAsia="it-IT"/>
          <w14:ligatures w14:val="none"/>
        </w:rPr>
        <w:t>In line with prior research, we use two specific indicators from the EPI project: the Sustainable Nitrogen Management (SNM) Index and the Sustainable Pesticide Use (SPU)</w:t>
      </w:r>
      <w:r w:rsidRPr="00765279">
        <w:rPr>
          <w:rFonts w:ascii="Times New Roman" w:eastAsia="Times New Roman" w:hAnsi="Times New Roman" w:cs="Times New Roman"/>
          <w:b/>
          <w:bCs/>
          <w:kern w:val="0"/>
          <w:lang w:val="en-GB" w:eastAsia="it-IT"/>
          <w14:ligatures w14:val="none"/>
        </w:rPr>
        <w:t xml:space="preserve"> </w:t>
      </w:r>
      <w:r w:rsidRPr="00765279">
        <w:rPr>
          <w:rFonts w:ascii="Times New Roman" w:eastAsia="Times New Roman" w:hAnsi="Times New Roman" w:cs="Times New Roman"/>
          <w:kern w:val="0"/>
          <w:lang w:val="en-GB" w:eastAsia="it-IT"/>
          <w14:ligatures w14:val="none"/>
        </w:rPr>
        <w:t xml:space="preserve">Index. </w:t>
      </w:r>
      <w:r w:rsidRPr="00765279">
        <w:rPr>
          <w:rStyle w:val="Rimandonotaapidipagina"/>
          <w:rFonts w:ascii="Times New Roman" w:hAnsi="Times New Roman" w:cs="Times New Roman"/>
          <w:lang w:val="en-GB"/>
        </w:rPr>
        <w:t xml:space="preserve"> </w:t>
      </w:r>
      <w:r w:rsidRPr="00765279">
        <w:rPr>
          <w:rStyle w:val="Rimandonotaapidipagina"/>
          <w:rFonts w:ascii="Times New Roman" w:hAnsi="Times New Roman" w:cs="Times New Roman"/>
          <w:lang w:val="en-GB"/>
        </w:rPr>
        <w:footnoteReference w:id="8"/>
      </w:r>
      <w:r w:rsidRPr="00765279">
        <w:rPr>
          <w:rStyle w:val="Rimandonotaapidipagina"/>
          <w:rFonts w:ascii="Times New Roman" w:hAnsi="Times New Roman" w:cs="Times New Roman"/>
          <w:lang w:val="en-GB"/>
        </w:rPr>
        <w:t xml:space="preserve"> </w:t>
      </w:r>
      <w:r w:rsidRPr="00765279">
        <w:rPr>
          <w:rFonts w:ascii="Times New Roman" w:hAnsi="Times New Roman" w:cs="Times New Roman"/>
          <w:lang w:val="en-GB"/>
        </w:rPr>
        <w:t xml:space="preserve"> </w:t>
      </w:r>
      <w:r w:rsidRPr="00765279">
        <w:rPr>
          <w:rFonts w:ascii="Times New Roman" w:eastAsia="Times New Roman" w:hAnsi="Times New Roman" w:cs="Times New Roman"/>
          <w:kern w:val="0"/>
          <w:lang w:val="en-GB" w:eastAsia="it-IT"/>
          <w14:ligatures w14:val="none"/>
        </w:rPr>
        <w:t>We hypothesize that higher values in these indices are associated with a greater likelihood of enacting TBTs</w:t>
      </w:r>
      <w:r w:rsidRPr="00765279">
        <w:rPr>
          <w:rFonts w:ascii="Times New Roman" w:hAnsi="Times New Roman" w:cs="Times New Roman"/>
          <w:lang w:val="en-GB"/>
        </w:rPr>
        <w:t xml:space="preserve">.  </w:t>
      </w:r>
    </w:p>
    <w:p w14:paraId="100FA3EF" w14:textId="77777777" w:rsidR="003E03B2" w:rsidRPr="00765279" w:rsidRDefault="003E03B2" w:rsidP="005549B3">
      <w:pPr>
        <w:spacing w:before="120" w:line="276" w:lineRule="auto"/>
        <w:jc w:val="both"/>
        <w:rPr>
          <w:rFonts w:ascii="Times New Roman" w:eastAsia="Times New Roman" w:hAnsi="Times New Roman" w:cs="Times New Roman"/>
          <w:kern w:val="0"/>
          <w:lang w:val="en-GB" w:eastAsia="it-IT"/>
          <w14:ligatures w14:val="none"/>
        </w:rPr>
      </w:pPr>
      <w:r w:rsidRPr="00765279">
        <w:rPr>
          <w:rFonts w:ascii="Times New Roman" w:eastAsia="Times New Roman" w:hAnsi="Times New Roman" w:cs="Times New Roman"/>
          <w:kern w:val="0"/>
          <w:lang w:val="en-GB" w:eastAsia="it-IT"/>
          <w14:ligatures w14:val="none"/>
        </w:rPr>
        <w:t>By including these control variables, we aim to account for two key drivers of TBT adoption: the protectionist motive (captured by tariffs) and concerns over human health and environmental protection (captured by environmental performance).</w:t>
      </w:r>
    </w:p>
    <w:p w14:paraId="663151F8" w14:textId="77777777" w:rsidR="00920183" w:rsidRPr="00765279" w:rsidRDefault="00920183" w:rsidP="005549B3">
      <w:pPr>
        <w:autoSpaceDE w:val="0"/>
        <w:autoSpaceDN w:val="0"/>
        <w:adjustRightInd w:val="0"/>
        <w:spacing w:before="120" w:line="276" w:lineRule="auto"/>
        <w:ind w:right="-1"/>
        <w:jc w:val="both"/>
        <w:rPr>
          <w:rFonts w:ascii="Times New Roman" w:hAnsi="Times New Roman" w:cs="Times New Roman"/>
        </w:rPr>
      </w:pPr>
    </w:p>
    <w:p w14:paraId="00782E4A" w14:textId="77777777" w:rsidR="00920183" w:rsidRPr="00765279" w:rsidRDefault="00920183" w:rsidP="00804F9D">
      <w:pPr>
        <w:autoSpaceDE w:val="0"/>
        <w:autoSpaceDN w:val="0"/>
        <w:adjustRightInd w:val="0"/>
        <w:spacing w:before="120" w:line="276" w:lineRule="auto"/>
        <w:ind w:right="-1" w:firstLine="142"/>
        <w:jc w:val="both"/>
        <w:rPr>
          <w:rFonts w:ascii="Times New Roman" w:hAnsi="Times New Roman" w:cs="Times New Roman"/>
        </w:rPr>
      </w:pPr>
    </w:p>
    <w:p w14:paraId="34E397AA" w14:textId="2C71629B" w:rsidR="00FE1590" w:rsidRPr="00765279" w:rsidRDefault="00000000" w:rsidP="00804F9D">
      <w:pPr>
        <w:keepNext/>
        <w:spacing w:before="120" w:line="276" w:lineRule="auto"/>
        <w:ind w:right="-1" w:firstLine="142"/>
        <w:jc w:val="both"/>
        <w:rPr>
          <w:rFonts w:ascii="Times New Roman" w:hAnsi="Times New Roman" w:cs="Times New Roman"/>
        </w:rPr>
      </w:pPr>
      <w:r w:rsidRPr="00765279">
        <w:rPr>
          <w:rFonts w:ascii="Times New Roman" w:hAnsi="Times New Roman" w:cs="Times New Roman"/>
        </w:rPr>
        <w:lastRenderedPageBreak/>
        <w:t>Figure 1. TBT</w:t>
      </w:r>
      <w:r w:rsidR="00EF4FA6" w:rsidRPr="00765279">
        <w:rPr>
          <w:rFonts w:ascii="Times New Roman" w:hAnsi="Times New Roman" w:cs="Times New Roman"/>
        </w:rPr>
        <w:t>s</w:t>
      </w:r>
      <w:r w:rsidRPr="00765279">
        <w:rPr>
          <w:rFonts w:ascii="Times New Roman" w:hAnsi="Times New Roman" w:cs="Times New Roman"/>
        </w:rPr>
        <w:t xml:space="preserve"> on fertilizers and pesticides in force </w:t>
      </w:r>
    </w:p>
    <w:p w14:paraId="1A3E22FC" w14:textId="77777777" w:rsidR="00FE1590" w:rsidRPr="00765279" w:rsidRDefault="00000000" w:rsidP="00804F9D">
      <w:pPr>
        <w:spacing w:before="120" w:line="276" w:lineRule="auto"/>
        <w:ind w:right="-1" w:firstLine="142"/>
        <w:jc w:val="both"/>
        <w:rPr>
          <w:rFonts w:ascii="Times New Roman" w:hAnsi="Times New Roman" w:cs="Times New Roman"/>
        </w:rPr>
      </w:pPr>
      <w:r w:rsidRPr="00765279">
        <w:rPr>
          <w:rFonts w:ascii="Times New Roman" w:hAnsi="Times New Roman" w:cs="Times New Roman"/>
          <w:noProof/>
          <w14:ligatures w14:val="none"/>
        </w:rPr>
        <w:drawing>
          <wp:inline distT="0" distB="0" distL="0" distR="0" wp14:anchorId="117396C9" wp14:editId="1A6C5824">
            <wp:extent cx="4910699" cy="3128210"/>
            <wp:effectExtent l="0" t="0" r="4445" b="0"/>
            <wp:docPr id="166358839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588392" name=""/>
                    <pic:cNvPicPr/>
                  </pic:nvPicPr>
                  <pic:blipFill>
                    <a:blip r:embed="rId8"/>
                    <a:stretch>
                      <a:fillRect/>
                    </a:stretch>
                  </pic:blipFill>
                  <pic:spPr>
                    <a:xfrm>
                      <a:off x="0" y="0"/>
                      <a:ext cx="4915999" cy="3131586"/>
                    </a:xfrm>
                    <a:prstGeom prst="rect">
                      <a:avLst/>
                    </a:prstGeom>
                  </pic:spPr>
                </pic:pic>
              </a:graphicData>
            </a:graphic>
          </wp:inline>
        </w:drawing>
      </w:r>
    </w:p>
    <w:p w14:paraId="5CD0E94C" w14:textId="31F2CE21" w:rsidR="00FE1590" w:rsidRPr="00765279" w:rsidRDefault="00000000" w:rsidP="00804F9D">
      <w:pPr>
        <w:spacing w:before="120" w:line="276" w:lineRule="auto"/>
        <w:ind w:right="-1" w:firstLine="142"/>
        <w:jc w:val="both"/>
        <w:rPr>
          <w:rFonts w:ascii="Times New Roman" w:hAnsi="Times New Roman" w:cs="Times New Roman"/>
          <w:sz w:val="18"/>
          <w:szCs w:val="18"/>
        </w:rPr>
      </w:pPr>
      <w:r w:rsidRPr="00765279">
        <w:rPr>
          <w:rFonts w:ascii="Times New Roman" w:hAnsi="Times New Roman" w:cs="Times New Roman"/>
          <w:sz w:val="18"/>
          <w:szCs w:val="18"/>
        </w:rPr>
        <w:t xml:space="preserve">Note: </w:t>
      </w:r>
      <w:r w:rsidR="00C45571" w:rsidRPr="00765279">
        <w:rPr>
          <w:rFonts w:ascii="Times New Roman" w:hAnsi="Times New Roman" w:cs="Times New Roman"/>
          <w:sz w:val="18"/>
          <w:szCs w:val="18"/>
        </w:rPr>
        <w:t xml:space="preserve">The Figure reports the </w:t>
      </w:r>
      <w:r w:rsidR="0042684B" w:rsidRPr="00765279">
        <w:rPr>
          <w:rFonts w:ascii="Times New Roman" w:hAnsi="Times New Roman" w:cs="Times New Roman"/>
          <w:sz w:val="18"/>
          <w:szCs w:val="18"/>
        </w:rPr>
        <w:t>total</w:t>
      </w:r>
      <w:r w:rsidR="00C45571" w:rsidRPr="00765279">
        <w:rPr>
          <w:rFonts w:ascii="Times New Roman" w:hAnsi="Times New Roman" w:cs="Times New Roman"/>
          <w:sz w:val="18"/>
          <w:szCs w:val="18"/>
        </w:rPr>
        <w:t xml:space="preserve"> </w:t>
      </w:r>
      <w:r w:rsidR="0042684B" w:rsidRPr="00765279">
        <w:rPr>
          <w:rFonts w:ascii="Times New Roman" w:hAnsi="Times New Roman" w:cs="Times New Roman"/>
          <w:sz w:val="18"/>
          <w:szCs w:val="18"/>
        </w:rPr>
        <w:t xml:space="preserve">number </w:t>
      </w:r>
      <w:r w:rsidR="00C45571" w:rsidRPr="00765279">
        <w:rPr>
          <w:rFonts w:ascii="Times New Roman" w:hAnsi="Times New Roman" w:cs="Times New Roman"/>
          <w:sz w:val="18"/>
          <w:szCs w:val="18"/>
        </w:rPr>
        <w:t>of TBT</w:t>
      </w:r>
      <w:r w:rsidR="00A61E46" w:rsidRPr="00765279">
        <w:rPr>
          <w:rFonts w:ascii="Times New Roman" w:hAnsi="Times New Roman" w:cs="Times New Roman"/>
          <w:sz w:val="18"/>
          <w:szCs w:val="18"/>
        </w:rPr>
        <w:t>s</w:t>
      </w:r>
      <w:r w:rsidR="00C45571" w:rsidRPr="00765279">
        <w:rPr>
          <w:rFonts w:ascii="Times New Roman" w:hAnsi="Times New Roman" w:cs="Times New Roman"/>
          <w:sz w:val="18"/>
          <w:szCs w:val="18"/>
        </w:rPr>
        <w:t xml:space="preserve"> </w:t>
      </w:r>
      <w:r w:rsidR="00EF4FA6" w:rsidRPr="00765279">
        <w:rPr>
          <w:rFonts w:ascii="Times New Roman" w:hAnsi="Times New Roman" w:cs="Times New Roman"/>
          <w:sz w:val="18"/>
          <w:szCs w:val="18"/>
        </w:rPr>
        <w:t xml:space="preserve">concerning fertilizers and pesticides </w:t>
      </w:r>
      <w:r w:rsidR="0042684B" w:rsidRPr="00765279">
        <w:rPr>
          <w:rFonts w:ascii="Times New Roman" w:hAnsi="Times New Roman" w:cs="Times New Roman"/>
          <w:sz w:val="18"/>
          <w:szCs w:val="18"/>
        </w:rPr>
        <w:t>in force</w:t>
      </w:r>
      <w:r w:rsidR="00C45571" w:rsidRPr="00765279">
        <w:rPr>
          <w:rFonts w:ascii="Times New Roman" w:hAnsi="Times New Roman" w:cs="Times New Roman"/>
          <w:sz w:val="18"/>
          <w:szCs w:val="18"/>
        </w:rPr>
        <w:t xml:space="preserve"> </w:t>
      </w:r>
      <w:r w:rsidR="0042684B" w:rsidRPr="00765279">
        <w:rPr>
          <w:rFonts w:ascii="Times New Roman" w:hAnsi="Times New Roman" w:cs="Times New Roman"/>
          <w:sz w:val="18"/>
          <w:szCs w:val="18"/>
        </w:rPr>
        <w:t>(</w:t>
      </w:r>
      <w:r w:rsidRPr="00765279">
        <w:rPr>
          <w:rFonts w:ascii="Times New Roman" w:hAnsi="Times New Roman" w:cs="Times New Roman"/>
          <w:sz w:val="18"/>
          <w:szCs w:val="18"/>
        </w:rPr>
        <w:t>authors’ calculations on WTO data</w:t>
      </w:r>
      <w:r w:rsidR="0042684B" w:rsidRPr="00765279">
        <w:rPr>
          <w:rFonts w:ascii="Times New Roman" w:hAnsi="Times New Roman" w:cs="Times New Roman"/>
          <w:sz w:val="18"/>
          <w:szCs w:val="18"/>
        </w:rPr>
        <w:t>)</w:t>
      </w:r>
    </w:p>
    <w:p w14:paraId="5592FAF3" w14:textId="77777777" w:rsidR="00FE1590" w:rsidRPr="00765279" w:rsidRDefault="00FE1590" w:rsidP="00804F9D">
      <w:pPr>
        <w:spacing w:before="120" w:line="276" w:lineRule="auto"/>
        <w:ind w:right="-1" w:firstLine="142"/>
        <w:jc w:val="both"/>
        <w:rPr>
          <w:rFonts w:ascii="Times New Roman" w:hAnsi="Times New Roman" w:cs="Times New Roman"/>
          <w:sz w:val="18"/>
          <w:szCs w:val="18"/>
        </w:rPr>
      </w:pPr>
    </w:p>
    <w:p w14:paraId="02B21D2A" w14:textId="13E34E2B" w:rsidR="00FE1590" w:rsidRPr="00765279" w:rsidRDefault="00000000" w:rsidP="00804F9D">
      <w:pPr>
        <w:keepNext/>
        <w:spacing w:before="120" w:line="276" w:lineRule="auto"/>
        <w:ind w:right="-1" w:firstLine="142"/>
        <w:jc w:val="both"/>
        <w:rPr>
          <w:rFonts w:ascii="Times New Roman" w:hAnsi="Times New Roman" w:cs="Times New Roman"/>
        </w:rPr>
      </w:pPr>
      <w:r w:rsidRPr="00765279">
        <w:rPr>
          <w:rFonts w:ascii="Times New Roman" w:hAnsi="Times New Roman" w:cs="Times New Roman"/>
        </w:rPr>
        <w:t>Figure 2. RTA</w:t>
      </w:r>
      <w:r w:rsidR="001A4AC3" w:rsidRPr="00765279">
        <w:rPr>
          <w:rFonts w:ascii="Times New Roman" w:hAnsi="Times New Roman" w:cs="Times New Roman"/>
        </w:rPr>
        <w:t>s</w:t>
      </w:r>
      <w:r w:rsidRPr="00765279">
        <w:rPr>
          <w:rFonts w:ascii="Times New Roman" w:hAnsi="Times New Roman" w:cs="Times New Roman"/>
        </w:rPr>
        <w:t xml:space="preserve"> provisions on fertilizers and pesticides </w:t>
      </w:r>
    </w:p>
    <w:p w14:paraId="0615826B" w14:textId="77777777" w:rsidR="00FE1590" w:rsidRPr="00765279" w:rsidRDefault="00FE1590" w:rsidP="00804F9D">
      <w:pPr>
        <w:spacing w:before="120" w:line="276" w:lineRule="auto"/>
        <w:ind w:right="-1" w:firstLine="142"/>
        <w:jc w:val="both"/>
        <w:rPr>
          <w:rFonts w:ascii="Times New Roman" w:hAnsi="Times New Roman" w:cs="Times New Roman"/>
          <w:sz w:val="18"/>
          <w:szCs w:val="18"/>
        </w:rPr>
      </w:pPr>
    </w:p>
    <w:p w14:paraId="0238F228" w14:textId="77777777" w:rsidR="00FE1590" w:rsidRPr="00765279" w:rsidRDefault="00000000" w:rsidP="00804F9D">
      <w:pPr>
        <w:spacing w:before="120" w:line="276" w:lineRule="auto"/>
        <w:ind w:right="-1" w:firstLine="142"/>
        <w:jc w:val="both"/>
        <w:rPr>
          <w:rFonts w:ascii="Times New Roman" w:hAnsi="Times New Roman" w:cs="Times New Roman"/>
          <w:sz w:val="18"/>
          <w:szCs w:val="18"/>
        </w:rPr>
      </w:pPr>
      <w:r w:rsidRPr="00765279">
        <w:rPr>
          <w:rFonts w:ascii="Times New Roman" w:hAnsi="Times New Roman" w:cs="Times New Roman"/>
          <w:noProof/>
          <w14:ligatures w14:val="none"/>
        </w:rPr>
        <w:drawing>
          <wp:inline distT="0" distB="0" distL="0" distR="0" wp14:anchorId="497E1C9E" wp14:editId="061CB471">
            <wp:extent cx="4584700" cy="2755900"/>
            <wp:effectExtent l="0" t="0" r="0" b="0"/>
            <wp:docPr id="20752881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28819" name=""/>
                    <pic:cNvPicPr/>
                  </pic:nvPicPr>
                  <pic:blipFill>
                    <a:blip r:embed="rId9"/>
                    <a:stretch>
                      <a:fillRect/>
                    </a:stretch>
                  </pic:blipFill>
                  <pic:spPr>
                    <a:xfrm>
                      <a:off x="0" y="0"/>
                      <a:ext cx="4584700" cy="2755900"/>
                    </a:xfrm>
                    <a:prstGeom prst="rect">
                      <a:avLst/>
                    </a:prstGeom>
                  </pic:spPr>
                </pic:pic>
              </a:graphicData>
            </a:graphic>
          </wp:inline>
        </w:drawing>
      </w:r>
    </w:p>
    <w:p w14:paraId="5DAEA43E" w14:textId="68D74E58" w:rsidR="00FE1590" w:rsidRPr="00765279" w:rsidRDefault="00000000" w:rsidP="00804F9D">
      <w:pPr>
        <w:spacing w:before="120" w:line="276" w:lineRule="auto"/>
        <w:ind w:right="-1" w:firstLine="142"/>
        <w:jc w:val="both"/>
        <w:rPr>
          <w:rFonts w:ascii="Times New Roman" w:hAnsi="Times New Roman" w:cs="Times New Roman"/>
          <w:sz w:val="18"/>
          <w:szCs w:val="18"/>
        </w:rPr>
      </w:pPr>
      <w:r w:rsidRPr="00765279">
        <w:rPr>
          <w:rFonts w:ascii="Times New Roman" w:hAnsi="Times New Roman" w:cs="Times New Roman"/>
          <w:sz w:val="18"/>
          <w:szCs w:val="18"/>
        </w:rPr>
        <w:t xml:space="preserve">Note: </w:t>
      </w:r>
      <w:r w:rsidR="001A4AC3" w:rsidRPr="00765279">
        <w:rPr>
          <w:rFonts w:ascii="Times New Roman" w:hAnsi="Times New Roman" w:cs="Times New Roman"/>
          <w:sz w:val="18"/>
          <w:szCs w:val="18"/>
        </w:rPr>
        <w:t>The Figure reports the total number of RTAs provisions concerning fertilizer and pesticides (</w:t>
      </w:r>
      <w:r w:rsidRPr="00765279">
        <w:rPr>
          <w:rFonts w:ascii="Times New Roman" w:hAnsi="Times New Roman" w:cs="Times New Roman"/>
          <w:sz w:val="18"/>
          <w:szCs w:val="18"/>
        </w:rPr>
        <w:t>authors’ calculations on TREND data</w:t>
      </w:r>
      <w:r w:rsidR="001A4AC3" w:rsidRPr="00765279">
        <w:rPr>
          <w:rFonts w:ascii="Times New Roman" w:hAnsi="Times New Roman" w:cs="Times New Roman"/>
          <w:sz w:val="18"/>
          <w:szCs w:val="18"/>
        </w:rPr>
        <w:t>)</w:t>
      </w:r>
    </w:p>
    <w:p w14:paraId="0FDFCE30" w14:textId="77777777" w:rsidR="00FE1590" w:rsidRPr="00765279" w:rsidRDefault="00FE1590" w:rsidP="00804F9D">
      <w:pPr>
        <w:spacing w:before="120" w:line="276" w:lineRule="auto"/>
        <w:ind w:right="-1" w:firstLine="142"/>
        <w:jc w:val="both"/>
        <w:rPr>
          <w:rFonts w:ascii="Times New Roman" w:hAnsi="Times New Roman" w:cs="Times New Roman"/>
          <w:sz w:val="18"/>
          <w:szCs w:val="18"/>
        </w:rPr>
      </w:pPr>
    </w:p>
    <w:p w14:paraId="17F5B4C6" w14:textId="77777777" w:rsidR="00FE1590" w:rsidRPr="00765279" w:rsidRDefault="00FE1590" w:rsidP="00804F9D">
      <w:pPr>
        <w:spacing w:before="120" w:line="276" w:lineRule="auto"/>
        <w:ind w:right="-1" w:firstLine="142"/>
        <w:jc w:val="both"/>
        <w:rPr>
          <w:rFonts w:ascii="Times New Roman" w:hAnsi="Times New Roman" w:cs="Times New Roman"/>
          <w:sz w:val="18"/>
          <w:szCs w:val="18"/>
        </w:rPr>
      </w:pPr>
    </w:p>
    <w:p w14:paraId="4824BF49" w14:textId="4CEC9DDF" w:rsidR="00FE1590" w:rsidRPr="00765279" w:rsidRDefault="00000000" w:rsidP="00804F9D">
      <w:pPr>
        <w:keepNext/>
        <w:spacing w:before="120" w:line="276" w:lineRule="auto"/>
        <w:ind w:right="-1" w:firstLine="142"/>
        <w:jc w:val="both"/>
        <w:rPr>
          <w:rFonts w:ascii="Times New Roman" w:hAnsi="Times New Roman" w:cs="Times New Roman"/>
        </w:rPr>
      </w:pPr>
      <w:r w:rsidRPr="00765279">
        <w:rPr>
          <w:rFonts w:ascii="Times New Roman" w:hAnsi="Times New Roman" w:cs="Times New Roman"/>
        </w:rPr>
        <w:lastRenderedPageBreak/>
        <w:t>Figure 3. RTA</w:t>
      </w:r>
      <w:r w:rsidR="00EF4FA6" w:rsidRPr="00765279">
        <w:rPr>
          <w:rFonts w:ascii="Times New Roman" w:hAnsi="Times New Roman" w:cs="Times New Roman"/>
        </w:rPr>
        <w:t>s</w:t>
      </w:r>
      <w:r w:rsidRPr="00765279">
        <w:rPr>
          <w:rFonts w:ascii="Times New Roman" w:hAnsi="Times New Roman" w:cs="Times New Roman"/>
        </w:rPr>
        <w:t xml:space="preserve"> provisions on organic food </w:t>
      </w:r>
    </w:p>
    <w:p w14:paraId="7EA88D87" w14:textId="77777777" w:rsidR="006344F9" w:rsidRPr="00765279" w:rsidRDefault="00000000" w:rsidP="00804F9D">
      <w:pPr>
        <w:keepNext/>
        <w:spacing w:before="120" w:line="276" w:lineRule="auto"/>
        <w:ind w:right="-1" w:firstLine="142"/>
        <w:jc w:val="both"/>
        <w:rPr>
          <w:rFonts w:ascii="Times New Roman" w:hAnsi="Times New Roman" w:cs="Times New Roman"/>
        </w:rPr>
      </w:pPr>
      <w:r w:rsidRPr="00765279">
        <w:rPr>
          <w:rFonts w:ascii="Times New Roman" w:hAnsi="Times New Roman" w:cs="Times New Roman"/>
          <w:noProof/>
          <w14:ligatures w14:val="none"/>
        </w:rPr>
        <w:drawing>
          <wp:inline distT="0" distB="0" distL="0" distR="0" wp14:anchorId="1642FAC4" wp14:editId="229AEF05">
            <wp:extent cx="4572000" cy="2895600"/>
            <wp:effectExtent l="0" t="0" r="0" b="0"/>
            <wp:docPr id="104217921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179215" name=""/>
                    <pic:cNvPicPr/>
                  </pic:nvPicPr>
                  <pic:blipFill>
                    <a:blip r:embed="rId10"/>
                    <a:stretch>
                      <a:fillRect/>
                    </a:stretch>
                  </pic:blipFill>
                  <pic:spPr>
                    <a:xfrm>
                      <a:off x="0" y="0"/>
                      <a:ext cx="4572000" cy="2895600"/>
                    </a:xfrm>
                    <a:prstGeom prst="rect">
                      <a:avLst/>
                    </a:prstGeom>
                  </pic:spPr>
                </pic:pic>
              </a:graphicData>
            </a:graphic>
          </wp:inline>
        </w:drawing>
      </w:r>
    </w:p>
    <w:p w14:paraId="234A6B08" w14:textId="2781A0A4" w:rsidR="006344F9" w:rsidRPr="00765279" w:rsidRDefault="00000000" w:rsidP="00804F9D">
      <w:pPr>
        <w:spacing w:before="120" w:line="276" w:lineRule="auto"/>
        <w:ind w:right="-1" w:firstLine="142"/>
        <w:jc w:val="both"/>
        <w:rPr>
          <w:rFonts w:ascii="Times New Roman" w:hAnsi="Times New Roman" w:cs="Times New Roman"/>
          <w:sz w:val="18"/>
          <w:szCs w:val="18"/>
        </w:rPr>
      </w:pPr>
      <w:r w:rsidRPr="00765279">
        <w:rPr>
          <w:rFonts w:ascii="Times New Roman" w:hAnsi="Times New Roman" w:cs="Times New Roman"/>
          <w:sz w:val="18"/>
          <w:szCs w:val="18"/>
        </w:rPr>
        <w:t xml:space="preserve">Note: </w:t>
      </w:r>
      <w:r w:rsidR="001A4AC3" w:rsidRPr="00765279">
        <w:rPr>
          <w:rFonts w:ascii="Times New Roman" w:hAnsi="Times New Roman" w:cs="Times New Roman"/>
          <w:sz w:val="18"/>
          <w:szCs w:val="18"/>
        </w:rPr>
        <w:t>The Figure reports the total number of RTAs provisions concerning organic food (</w:t>
      </w:r>
      <w:r w:rsidRPr="00765279">
        <w:rPr>
          <w:rFonts w:ascii="Times New Roman" w:hAnsi="Times New Roman" w:cs="Times New Roman"/>
          <w:sz w:val="18"/>
          <w:szCs w:val="18"/>
        </w:rPr>
        <w:t>authors’ calculations on TREND data</w:t>
      </w:r>
      <w:r w:rsidR="001A4AC3" w:rsidRPr="00765279">
        <w:rPr>
          <w:rFonts w:ascii="Times New Roman" w:hAnsi="Times New Roman" w:cs="Times New Roman"/>
          <w:sz w:val="18"/>
          <w:szCs w:val="18"/>
        </w:rPr>
        <w:t>)</w:t>
      </w:r>
    </w:p>
    <w:p w14:paraId="7D4874C9" w14:textId="77777777" w:rsidR="006344F9" w:rsidRPr="00765279" w:rsidRDefault="006344F9" w:rsidP="00804F9D">
      <w:pPr>
        <w:spacing w:before="120" w:line="276" w:lineRule="auto"/>
        <w:ind w:right="-1"/>
        <w:jc w:val="both"/>
        <w:rPr>
          <w:rFonts w:ascii="Times New Roman" w:hAnsi="Times New Roman" w:cs="Times New Roman"/>
          <w:sz w:val="18"/>
          <w:szCs w:val="18"/>
        </w:rPr>
      </w:pPr>
    </w:p>
    <w:p w14:paraId="5FB52FE4" w14:textId="77777777" w:rsidR="006344F9" w:rsidRPr="00765279" w:rsidRDefault="00000000" w:rsidP="00804F9D">
      <w:pPr>
        <w:pStyle w:val="Paragrafoelenco"/>
        <w:numPr>
          <w:ilvl w:val="0"/>
          <w:numId w:val="3"/>
        </w:numPr>
        <w:autoSpaceDE w:val="0"/>
        <w:autoSpaceDN w:val="0"/>
        <w:adjustRightInd w:val="0"/>
        <w:spacing w:before="120" w:line="276" w:lineRule="auto"/>
        <w:ind w:left="0" w:right="-1" w:firstLine="142"/>
        <w:jc w:val="both"/>
        <w:rPr>
          <w:rFonts w:ascii="Times New Roman" w:hAnsi="Times New Roman" w:cs="Times New Roman"/>
          <w:b/>
          <w:bCs/>
          <w:kern w:val="0"/>
          <w:lang w:val="en-GB"/>
        </w:rPr>
      </w:pPr>
      <w:r w:rsidRPr="00765279">
        <w:rPr>
          <w:rFonts w:ascii="Times New Roman" w:hAnsi="Times New Roman" w:cs="Times New Roman"/>
          <w:b/>
          <w:bCs/>
          <w:kern w:val="0"/>
          <w:lang w:val="en-GB"/>
        </w:rPr>
        <w:t xml:space="preserve"> Empirical strategy </w:t>
      </w:r>
    </w:p>
    <w:p w14:paraId="690EF325" w14:textId="2E7D2B20" w:rsidR="00DB38F6" w:rsidRPr="00765279" w:rsidRDefault="00000000" w:rsidP="00804F9D">
      <w:pPr>
        <w:autoSpaceDE w:val="0"/>
        <w:autoSpaceDN w:val="0"/>
        <w:adjustRightInd w:val="0"/>
        <w:spacing w:before="120" w:line="276" w:lineRule="auto"/>
        <w:ind w:right="-1" w:firstLine="284"/>
        <w:jc w:val="both"/>
        <w:rPr>
          <w:rFonts w:ascii="Times New Roman" w:hAnsi="Times New Roman" w:cs="Times New Roman"/>
        </w:rPr>
      </w:pPr>
      <w:r w:rsidRPr="00765279">
        <w:rPr>
          <w:rFonts w:ascii="Times New Roman" w:hAnsi="Times New Roman" w:cs="Times New Roman"/>
        </w:rPr>
        <w:t>The relationship between environmental provisions in RTAs and TBT may be subject to several sources of endogeneity that warrant careful consideration in the empirical analysis. First, unobserved heterogeneity across entities may create omitted variable bias if time-invariant characteristics correlate with explanatory variables, potentially confounding the causal relationship of interest. Second,</w:t>
      </w:r>
      <w:r w:rsidR="00346152" w:rsidRPr="00765279">
        <w:rPr>
          <w:rFonts w:ascii="Times New Roman" w:hAnsi="Times New Roman" w:cs="Times New Roman"/>
        </w:rPr>
        <w:t xml:space="preserve"> as aforementioned, r</w:t>
      </w:r>
      <w:r w:rsidRPr="00765279">
        <w:rPr>
          <w:rFonts w:ascii="Times New Roman" w:hAnsi="Times New Roman" w:cs="Times New Roman"/>
        </w:rPr>
        <w:t>everse causality is an important concern because</w:t>
      </w:r>
      <w:r w:rsidR="00346152" w:rsidRPr="00765279">
        <w:rPr>
          <w:rFonts w:ascii="Times New Roman" w:hAnsi="Times New Roman" w:cs="Times New Roman"/>
        </w:rPr>
        <w:t xml:space="preserve"> </w:t>
      </w:r>
      <w:r w:rsidRPr="00765279">
        <w:rPr>
          <w:rFonts w:ascii="Times New Roman" w:hAnsi="Times New Roman" w:cs="Times New Roman"/>
        </w:rPr>
        <w:t>TBT may influence the propensity of countries to sign RTAs</w:t>
      </w:r>
      <w:r w:rsidRPr="00765279">
        <w:rPr>
          <w:rFonts w:ascii="Times New Roman" w:eastAsia="Aptos" w:hAnsi="Times New Roman" w:cs="Times New Roman"/>
        </w:rPr>
        <w:t>, including environmental provisions</w:t>
      </w:r>
      <w:r w:rsidRPr="00765279">
        <w:rPr>
          <w:rFonts w:ascii="Times New Roman" w:hAnsi="Times New Roman" w:cs="Times New Roman"/>
        </w:rPr>
        <w:t>. Third, measurement error</w:t>
      </w:r>
      <w:r w:rsidRPr="00765279">
        <w:rPr>
          <w:rFonts w:ascii="Times New Roman" w:eastAsia="Aptos" w:hAnsi="Times New Roman" w:cs="Times New Roman"/>
        </w:rPr>
        <w:t xml:space="preserve">s in our key </w:t>
      </w:r>
      <w:r w:rsidRPr="00765279">
        <w:rPr>
          <w:rFonts w:ascii="Times New Roman" w:hAnsi="Times New Roman" w:cs="Times New Roman"/>
        </w:rPr>
        <w:t xml:space="preserve">variables could attenuate coefficient estimates and introduce classical errors-in-variables bias, particularly given the complexity of coding environmental provisions across diverse trade agreements. Finally, spatial endogeneity could also arise in our specific context, as observations </w:t>
      </w:r>
      <w:r w:rsidRPr="00765279">
        <w:rPr>
          <w:rFonts w:ascii="Times New Roman" w:hAnsi="Times New Roman" w:cs="Times New Roman"/>
          <w:color w:val="000000" w:themeColor="text1"/>
        </w:rPr>
        <w:t xml:space="preserve">of </w:t>
      </w:r>
      <w:r w:rsidR="00FF6E2B" w:rsidRPr="00765279">
        <w:rPr>
          <w:rFonts w:ascii="Times New Roman" w:hAnsi="Times New Roman" w:cs="Times New Roman"/>
          <w:color w:val="000000" w:themeColor="text1"/>
        </w:rPr>
        <w:t xml:space="preserve">TBTs </w:t>
      </w:r>
      <w:r w:rsidRPr="00765279">
        <w:rPr>
          <w:rFonts w:ascii="Times New Roman" w:hAnsi="Times New Roman" w:cs="Times New Roman"/>
        </w:rPr>
        <w:t xml:space="preserve">may exhibit cross-sectional dependence owing to spatial spillovers, policy diffusion mechanisms, and network effects among trading partners. Our empirical strategy addresses these potential endogeneity issues using a multifaceted approach. </w:t>
      </w:r>
      <w:r w:rsidRPr="00765279">
        <w:rPr>
          <w:rStyle w:val="Rimandonotaapidipagina"/>
          <w:rFonts w:ascii="Times New Roman" w:hAnsi="Times New Roman" w:cs="Times New Roman"/>
          <w:kern w:val="0"/>
          <w:lang w:val="en-GB"/>
        </w:rPr>
        <w:footnoteReference w:id="9"/>
      </w:r>
    </w:p>
    <w:p w14:paraId="6F5A91B4" w14:textId="2D49A2E3"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rPr>
      </w:pPr>
      <w:r w:rsidRPr="00765279">
        <w:rPr>
          <w:rFonts w:ascii="Times New Roman" w:hAnsi="Times New Roman" w:cs="Times New Roman"/>
          <w:kern w:val="0"/>
        </w:rPr>
        <w:t>To address endogeneity issues related to possible omitted variables, our benchmark approach employs a static specification with two-way fixed effects (time and individual) to eliminate time-invariant unobserved heterogeneity. This approach effectively controls for country-specific characteristics that may simultaneously affect the adoption of RTAs</w:t>
      </w:r>
      <w:r w:rsidRPr="00765279">
        <w:rPr>
          <w:rFonts w:ascii="Times New Roman" w:eastAsia="Aptos" w:hAnsi="Times New Roman" w:cs="Times New Roman"/>
          <w:kern w:val="0"/>
        </w:rPr>
        <w:t>’</w:t>
      </w:r>
      <w:r w:rsidRPr="00765279">
        <w:rPr>
          <w:rFonts w:ascii="Times New Roman" w:hAnsi="Times New Roman" w:cs="Times New Roman"/>
          <w:kern w:val="0"/>
        </w:rPr>
        <w:t xml:space="preserve"> environmental provisions and domestic regulations. The time-fixed effects additionally capture global temporal trends in environmental governance that might influence both RTAs and national regulatory frameworks.</w:t>
      </w:r>
      <w:r w:rsidR="00A834D3" w:rsidRPr="00765279">
        <w:rPr>
          <w:rFonts w:ascii="Times New Roman" w:hAnsi="Times New Roman" w:cs="Times New Roman"/>
          <w:kern w:val="0"/>
        </w:rPr>
        <w:t xml:space="preserve"> Our first specification is as follows:</w:t>
      </w:r>
    </w:p>
    <w:p w14:paraId="0094A94B" w14:textId="77777777"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eastAsiaTheme="minorEastAsia" w:hAnsi="Times New Roman" w:cs="Times New Roman"/>
          <w:kern w:val="0"/>
          <w:lang w:val="en-GB"/>
        </w:rPr>
        <w:lastRenderedPageBreak/>
        <w:t xml:space="preserve">                 </w:t>
      </w:r>
      <m:oMath>
        <m:sSub>
          <m:sSubPr>
            <m:ctrlPr>
              <w:rPr>
                <w:rFonts w:ascii="Cambria Math" w:hAnsi="Cambria Math" w:cs="Times New Roman"/>
                <w:i/>
                <w:kern w:val="0"/>
                <w:lang w:val="en-GB"/>
              </w:rPr>
            </m:ctrlPr>
          </m:sSubPr>
          <m:e>
            <m:r>
              <w:rPr>
                <w:rFonts w:ascii="Cambria Math" w:hAnsi="Cambria Math" w:cs="Times New Roman"/>
                <w:kern w:val="0"/>
                <w:lang w:val="en-GB"/>
              </w:rPr>
              <m:t>envTBT</m:t>
            </m:r>
          </m:e>
          <m:sub>
            <m:r>
              <w:rPr>
                <w:rFonts w:ascii="Cambria Math" w:hAnsi="Cambria Math" w:cs="Times New Roman"/>
                <w:kern w:val="0"/>
                <w:lang w:val="en-GB"/>
              </w:rPr>
              <m:t>i,t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α</m:t>
            </m:r>
          </m:e>
          <m:sub>
            <m:r>
              <w:rPr>
                <w:rFonts w:ascii="Cambria Math" w:hAnsi="Cambria Math" w:cs="Times New Roman"/>
                <w:kern w:val="0"/>
                <w:lang w:val="en-GB"/>
              </w:rPr>
              <m:t>i</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β</m:t>
            </m:r>
          </m:e>
          <m:sub>
            <m:r>
              <w:rPr>
                <w:rFonts w:ascii="Cambria Math" w:hAnsi="Cambria Math" w:cs="Times New Roman"/>
                <w:kern w:val="0"/>
                <w:lang w:val="en-GB"/>
              </w:rPr>
              <m:t>1</m:t>
            </m:r>
          </m:sub>
        </m:sSub>
        <m:sSub>
          <m:sSubPr>
            <m:ctrlPr>
              <w:rPr>
                <w:rFonts w:ascii="Cambria Math" w:hAnsi="Cambria Math" w:cs="Times New Roman"/>
                <w:i/>
                <w:kern w:val="0"/>
                <w:lang w:val="en-GB"/>
              </w:rPr>
            </m:ctrlPr>
          </m:sSubPr>
          <m:e>
            <m:r>
              <w:rPr>
                <w:rFonts w:ascii="Cambria Math" w:hAnsi="Cambria Math" w:cs="Times New Roman"/>
                <w:kern w:val="0"/>
                <w:lang w:val="en-GB"/>
              </w:rPr>
              <m:t>envRTA</m:t>
            </m:r>
          </m:e>
          <m:sub>
            <m:r>
              <w:rPr>
                <w:rFonts w:ascii="Cambria Math" w:hAnsi="Cambria Math" w:cs="Times New Roman"/>
                <w:kern w:val="0"/>
                <w:lang w:val="en-GB"/>
              </w:rPr>
              <m:t>i,t</m:t>
            </m:r>
          </m:sub>
        </m:sSub>
        <m:r>
          <w:rPr>
            <w:rFonts w:ascii="Cambria Math" w:hAnsi="Cambria Math" w:cs="Times New Roman"/>
            <w:kern w:val="0"/>
            <w:lang w:val="en-GB"/>
          </w:rPr>
          <m:t>+</m:t>
        </m:r>
        <m:nary>
          <m:naryPr>
            <m:chr m:val="∑"/>
            <m:limLoc m:val="undOvr"/>
            <m:ctrlPr>
              <w:rPr>
                <w:rFonts w:ascii="Cambria Math" w:hAnsi="Cambria Math" w:cs="Times New Roman"/>
                <w:i/>
                <w:kern w:val="0"/>
                <w:lang w:val="en-GB"/>
              </w:rPr>
            </m:ctrlPr>
          </m:naryPr>
          <m:sub>
            <m:r>
              <w:rPr>
                <w:rFonts w:ascii="Cambria Math" w:hAnsi="Cambria Math" w:cs="Times New Roman"/>
                <w:kern w:val="0"/>
                <w:lang w:val="en-GB"/>
              </w:rPr>
              <m:t>z=1</m:t>
            </m:r>
          </m:sub>
          <m:sup>
            <m:r>
              <w:rPr>
                <w:rFonts w:ascii="Cambria Math" w:hAnsi="Cambria Math" w:cs="Times New Roman"/>
                <w:kern w:val="0"/>
                <w:lang w:val="en-GB"/>
              </w:rPr>
              <m:t>k</m:t>
            </m:r>
          </m:sup>
          <m:e>
            <m:sSub>
              <m:sSubPr>
                <m:ctrlPr>
                  <w:rPr>
                    <w:rFonts w:ascii="Cambria Math" w:hAnsi="Cambria Math" w:cs="Times New Roman"/>
                    <w:i/>
                    <w:kern w:val="0"/>
                    <w:lang w:val="en-GB"/>
                  </w:rPr>
                </m:ctrlPr>
              </m:sSubPr>
              <m:e>
                <m:r>
                  <w:rPr>
                    <w:rFonts w:ascii="Cambria Math" w:hAnsi="Cambria Math" w:cs="Times New Roman"/>
                    <w:kern w:val="0"/>
                    <w:lang w:val="en-GB"/>
                  </w:rPr>
                  <m:t>γ</m:t>
                </m:r>
              </m:e>
              <m:sub>
                <m:r>
                  <w:rPr>
                    <w:rFonts w:ascii="Cambria Math" w:hAnsi="Cambria Math" w:cs="Times New Roman"/>
                    <w:kern w:val="0"/>
                    <w:lang w:val="en-GB"/>
                  </w:rPr>
                  <m:t>z</m:t>
                </m:r>
              </m:sub>
            </m:sSub>
            <m:sSubSup>
              <m:sSubSupPr>
                <m:ctrlPr>
                  <w:rPr>
                    <w:rFonts w:ascii="Cambria Math" w:hAnsi="Cambria Math" w:cs="Times New Roman"/>
                    <w:i/>
                    <w:kern w:val="0"/>
                    <w:lang w:val="en-GB"/>
                  </w:rPr>
                </m:ctrlPr>
              </m:sSubSupPr>
              <m:e>
                <m:r>
                  <w:rPr>
                    <w:rFonts w:ascii="Cambria Math" w:hAnsi="Cambria Math" w:cs="Times New Roman"/>
                    <w:kern w:val="0"/>
                    <w:lang w:val="en-GB"/>
                  </w:rPr>
                  <m:t>x</m:t>
                </m:r>
              </m:e>
              <m:sub>
                <m:r>
                  <w:rPr>
                    <w:rFonts w:ascii="Cambria Math" w:hAnsi="Cambria Math" w:cs="Times New Roman"/>
                    <w:kern w:val="0"/>
                    <w:lang w:val="en-GB"/>
                  </w:rPr>
                  <m:t>i,t</m:t>
                </m:r>
              </m:sub>
              <m:sup>
                <m:r>
                  <w:rPr>
                    <w:rFonts w:ascii="Cambria Math" w:hAnsi="Cambria Math" w:cs="Times New Roman"/>
                    <w:kern w:val="0"/>
                    <w:lang w:val="en-GB"/>
                  </w:rPr>
                  <m:t>z</m:t>
                </m:r>
              </m:sup>
            </m:sSubSup>
          </m:e>
        </m:nary>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φ</m:t>
            </m:r>
          </m:e>
          <m:sub>
            <m:r>
              <w:rPr>
                <w:rFonts w:ascii="Cambria Math" w:hAnsi="Cambria Math" w:cs="Times New Roman"/>
                <w:kern w:val="0"/>
                <w:lang w:val="en-GB"/>
              </w:rPr>
              <m:t>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i,t</m:t>
            </m:r>
          </m:sub>
        </m:sSub>
      </m:oMath>
      <w:r w:rsidRPr="00765279">
        <w:rPr>
          <w:rFonts w:ascii="Times New Roman" w:eastAsiaTheme="minorEastAsia" w:hAnsi="Times New Roman" w:cs="Times New Roman"/>
          <w:kern w:val="0"/>
          <w:lang w:val="en-GB"/>
        </w:rPr>
        <w:t xml:space="preserve">                            1)</w:t>
      </w:r>
    </w:p>
    <w:p w14:paraId="622F624F" w14:textId="77777777"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hAnsi="Times New Roman" w:cs="Times New Roman"/>
          <w:kern w:val="0"/>
          <w:lang w:val="en-GB"/>
        </w:rPr>
        <w:t xml:space="preserve">with </w:t>
      </w:r>
      <w:proofErr w:type="spellStart"/>
      <w:r w:rsidRPr="00765279">
        <w:rPr>
          <w:rFonts w:ascii="Times New Roman" w:hAnsi="Times New Roman" w:cs="Times New Roman"/>
          <w:i/>
          <w:iCs/>
          <w:kern w:val="0"/>
          <w:lang w:val="en-GB"/>
        </w:rPr>
        <w:t>i</w:t>
      </w:r>
      <w:proofErr w:type="spellEnd"/>
      <w:r w:rsidRPr="00765279">
        <w:rPr>
          <w:rFonts w:ascii="Times New Roman" w:hAnsi="Times New Roman" w:cs="Times New Roman"/>
          <w:i/>
          <w:iCs/>
          <w:kern w:val="0"/>
          <w:lang w:val="en-GB"/>
        </w:rPr>
        <w:t xml:space="preserve"> </w:t>
      </w:r>
      <w:r w:rsidRPr="00765279">
        <w:rPr>
          <w:rFonts w:ascii="Times New Roman" w:hAnsi="Times New Roman" w:cs="Times New Roman"/>
          <w:kern w:val="0"/>
          <w:lang w:val="en-GB"/>
        </w:rPr>
        <w:t xml:space="preserve">= </w:t>
      </w:r>
      <w:proofErr w:type="gramStart"/>
      <w:r w:rsidRPr="00765279">
        <w:rPr>
          <w:rFonts w:ascii="Times New Roman" w:hAnsi="Times New Roman" w:cs="Times New Roman"/>
          <w:kern w:val="0"/>
          <w:lang w:val="en-GB"/>
        </w:rPr>
        <w:t>1,…</w:t>
      </w:r>
      <w:proofErr w:type="gramEnd"/>
      <w:r w:rsidRPr="00765279">
        <w:rPr>
          <w:rFonts w:ascii="Times New Roman" w:hAnsi="Times New Roman" w:cs="Times New Roman"/>
          <w:kern w:val="0"/>
          <w:lang w:val="en-GB"/>
        </w:rPr>
        <w:t xml:space="preserve">., 142 and </w:t>
      </w:r>
      <w:r w:rsidRPr="00765279">
        <w:rPr>
          <w:rFonts w:ascii="Times New Roman" w:hAnsi="Times New Roman" w:cs="Times New Roman"/>
          <w:i/>
          <w:iCs/>
          <w:kern w:val="0"/>
          <w:lang w:val="en-GB"/>
        </w:rPr>
        <w:t xml:space="preserve">t </w:t>
      </w:r>
      <w:r w:rsidRPr="00765279">
        <w:rPr>
          <w:rFonts w:ascii="Times New Roman" w:hAnsi="Times New Roman" w:cs="Times New Roman"/>
          <w:kern w:val="0"/>
          <w:lang w:val="en-GB"/>
        </w:rPr>
        <w:t>=</w:t>
      </w:r>
      <w:proofErr w:type="gramStart"/>
      <w:r w:rsidRPr="00765279">
        <w:rPr>
          <w:rFonts w:ascii="Times New Roman" w:hAnsi="Times New Roman" w:cs="Times New Roman"/>
          <w:kern w:val="0"/>
          <w:lang w:val="en-GB"/>
        </w:rPr>
        <w:t>1,…</w:t>
      </w:r>
      <w:proofErr w:type="gramEnd"/>
      <w:r w:rsidRPr="00765279">
        <w:rPr>
          <w:rFonts w:ascii="Times New Roman" w:hAnsi="Times New Roman" w:cs="Times New Roman"/>
          <w:kern w:val="0"/>
          <w:lang w:val="en-GB"/>
        </w:rPr>
        <w:t xml:space="preserve">,23. </w:t>
      </w:r>
    </w:p>
    <w:p w14:paraId="4EDB5627" w14:textId="77777777"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proofErr w:type="spellStart"/>
      <w:r w:rsidRPr="00765279">
        <w:rPr>
          <w:rFonts w:ascii="Times New Roman" w:hAnsi="Times New Roman" w:cs="Times New Roman"/>
          <w:i/>
          <w:iCs/>
          <w:kern w:val="0"/>
          <w:lang w:val="en-GB"/>
        </w:rPr>
        <w:t>envTBT</w:t>
      </w:r>
      <w:r w:rsidRPr="00765279">
        <w:rPr>
          <w:rFonts w:ascii="Times New Roman" w:hAnsi="Times New Roman" w:cs="Times New Roman"/>
          <w:i/>
          <w:iCs/>
          <w:kern w:val="0"/>
          <w:vertAlign w:val="subscript"/>
          <w:lang w:val="en-GB"/>
        </w:rPr>
        <w:t>i,t</w:t>
      </w:r>
      <w:proofErr w:type="spellEnd"/>
      <w:r w:rsidRPr="00765279">
        <w:rPr>
          <w:rFonts w:ascii="Times New Roman" w:eastAsia="Cambria Math" w:hAnsi="Times New Roman" w:cs="Times New Roman"/>
          <w:kern w:val="0"/>
          <w:lang w:val="en-GB"/>
        </w:rPr>
        <w:t xml:space="preserve"> </w:t>
      </w:r>
      <w:r w:rsidRPr="00765279">
        <w:rPr>
          <w:rFonts w:ascii="Times New Roman" w:hAnsi="Times New Roman" w:cs="Times New Roman"/>
          <w:kern w:val="0"/>
          <w:lang w:val="en-GB"/>
        </w:rPr>
        <w:t xml:space="preserve">is the count of TBT on fertilizers and pesticides adopted by country </w:t>
      </w:r>
      <w:proofErr w:type="spellStart"/>
      <w:r w:rsidRPr="00765279">
        <w:rPr>
          <w:rFonts w:ascii="Times New Roman" w:hAnsi="Times New Roman" w:cs="Times New Roman"/>
          <w:i/>
          <w:iCs/>
          <w:kern w:val="0"/>
          <w:lang w:val="en-GB"/>
        </w:rPr>
        <w:t>i</w:t>
      </w:r>
      <w:proofErr w:type="spellEnd"/>
      <w:r w:rsidRPr="00765279">
        <w:rPr>
          <w:rFonts w:ascii="Times New Roman" w:hAnsi="Times New Roman" w:cs="Times New Roman"/>
          <w:i/>
          <w:iCs/>
          <w:kern w:val="0"/>
          <w:lang w:val="en-GB"/>
        </w:rPr>
        <w:t xml:space="preserve"> </w:t>
      </w:r>
      <w:r w:rsidRPr="00765279">
        <w:rPr>
          <w:rFonts w:ascii="Times New Roman" w:hAnsi="Times New Roman" w:cs="Times New Roman"/>
          <w:kern w:val="0"/>
          <w:lang w:val="en-GB"/>
        </w:rPr>
        <w:t xml:space="preserve">at time </w:t>
      </w:r>
      <w:r w:rsidRPr="00765279">
        <w:rPr>
          <w:rFonts w:ascii="Times New Roman" w:hAnsi="Times New Roman" w:cs="Times New Roman"/>
          <w:i/>
          <w:iCs/>
          <w:kern w:val="0"/>
          <w:lang w:val="en-GB"/>
        </w:rPr>
        <w:t>t</w:t>
      </w:r>
      <w:r w:rsidRPr="00765279">
        <w:rPr>
          <w:rFonts w:ascii="Times New Roman" w:hAnsi="Times New Roman" w:cs="Times New Roman"/>
          <w:kern w:val="0"/>
          <w:lang w:val="en-GB"/>
        </w:rPr>
        <w:t xml:space="preserve">; </w:t>
      </w:r>
      <w:proofErr w:type="spellStart"/>
      <w:r w:rsidRPr="00765279">
        <w:rPr>
          <w:rFonts w:ascii="Times New Roman" w:hAnsi="Times New Roman" w:cs="Times New Roman"/>
          <w:i/>
          <w:iCs/>
          <w:kern w:val="0"/>
          <w:lang w:val="en-GB"/>
        </w:rPr>
        <w:t>envRTA</w:t>
      </w:r>
      <w:r w:rsidRPr="00765279">
        <w:rPr>
          <w:rFonts w:ascii="Times New Roman" w:hAnsi="Times New Roman" w:cs="Times New Roman"/>
          <w:i/>
          <w:iCs/>
          <w:kern w:val="0"/>
          <w:vertAlign w:val="subscript"/>
          <w:lang w:val="en-GB"/>
        </w:rPr>
        <w:t>i,t</w:t>
      </w:r>
      <w:proofErr w:type="spellEnd"/>
      <w:r w:rsidRPr="00765279">
        <w:rPr>
          <w:rFonts w:ascii="Times New Roman" w:hAnsi="Times New Roman" w:cs="Times New Roman"/>
          <w:kern w:val="0"/>
          <w:lang w:val="en-GB"/>
        </w:rPr>
        <w:t xml:space="preserve"> is the count of the environmental provisions on fertilizers/pesticides and/or organic food included in the RTAs; </w:t>
      </w:r>
      <m:oMath>
        <m:nary>
          <m:naryPr>
            <m:chr m:val="∑"/>
            <m:limLoc m:val="undOvr"/>
            <m:ctrlPr>
              <w:rPr>
                <w:rFonts w:ascii="Cambria Math" w:hAnsi="Cambria Math" w:cs="Times New Roman"/>
                <w:i/>
                <w:kern w:val="0"/>
                <w:lang w:val="en-GB"/>
              </w:rPr>
            </m:ctrlPr>
          </m:naryPr>
          <m:sub>
            <m:r>
              <w:rPr>
                <w:rFonts w:ascii="Cambria Math" w:hAnsi="Cambria Math" w:cs="Times New Roman"/>
                <w:kern w:val="0"/>
                <w:lang w:val="en-GB"/>
              </w:rPr>
              <m:t>z=1</m:t>
            </m:r>
          </m:sub>
          <m:sup>
            <m:r>
              <w:rPr>
                <w:rFonts w:ascii="Cambria Math" w:hAnsi="Cambria Math" w:cs="Times New Roman"/>
                <w:kern w:val="0"/>
                <w:lang w:val="en-GB"/>
              </w:rPr>
              <m:t>k</m:t>
            </m:r>
          </m:sup>
          <m:e>
            <m:sSub>
              <m:sSubPr>
                <m:ctrlPr>
                  <w:rPr>
                    <w:rFonts w:ascii="Cambria Math" w:hAnsi="Cambria Math" w:cs="Times New Roman"/>
                    <w:i/>
                    <w:kern w:val="0"/>
                    <w:lang w:val="en-GB"/>
                  </w:rPr>
                </m:ctrlPr>
              </m:sSubPr>
              <m:e>
                <m:r>
                  <w:rPr>
                    <w:rFonts w:ascii="Cambria Math" w:hAnsi="Cambria Math" w:cs="Times New Roman"/>
                    <w:kern w:val="0"/>
                    <w:lang w:val="en-GB"/>
                  </w:rPr>
                  <m:t>γ</m:t>
                </m:r>
              </m:e>
              <m:sub>
                <m:r>
                  <w:rPr>
                    <w:rFonts w:ascii="Cambria Math" w:hAnsi="Cambria Math" w:cs="Times New Roman"/>
                    <w:kern w:val="0"/>
                    <w:lang w:val="en-GB"/>
                  </w:rPr>
                  <m:t>z</m:t>
                </m:r>
              </m:sub>
            </m:sSub>
            <m:sSubSup>
              <m:sSubSupPr>
                <m:ctrlPr>
                  <w:rPr>
                    <w:rFonts w:ascii="Cambria Math" w:hAnsi="Cambria Math" w:cs="Times New Roman"/>
                    <w:i/>
                    <w:kern w:val="0"/>
                    <w:lang w:val="en-GB"/>
                  </w:rPr>
                </m:ctrlPr>
              </m:sSubSupPr>
              <m:e>
                <m:r>
                  <w:rPr>
                    <w:rFonts w:ascii="Cambria Math" w:hAnsi="Cambria Math" w:cs="Times New Roman"/>
                    <w:kern w:val="0"/>
                    <w:lang w:val="en-GB"/>
                  </w:rPr>
                  <m:t>x</m:t>
                </m:r>
              </m:e>
              <m:sub>
                <m:r>
                  <w:rPr>
                    <w:rFonts w:ascii="Cambria Math" w:hAnsi="Cambria Math" w:cs="Times New Roman"/>
                    <w:kern w:val="0"/>
                    <w:lang w:val="en-GB"/>
                  </w:rPr>
                  <m:t>i,t</m:t>
                </m:r>
              </m:sub>
              <m:sup>
                <m:r>
                  <w:rPr>
                    <w:rFonts w:ascii="Cambria Math" w:hAnsi="Cambria Math" w:cs="Times New Roman"/>
                    <w:kern w:val="0"/>
                    <w:lang w:val="en-GB"/>
                  </w:rPr>
                  <m:t>z</m:t>
                </m:r>
              </m:sup>
            </m:sSubSup>
          </m:e>
        </m:nary>
      </m:oMath>
      <w:r w:rsidRPr="00765279">
        <w:rPr>
          <w:rFonts w:ascii="Times New Roman" w:hAnsi="Times New Roman" w:cs="Times New Roman"/>
          <w:kern w:val="0"/>
          <w:lang w:val="en-GB"/>
        </w:rPr>
        <w:t xml:space="preserve"> are country-time variant control variables. </w:t>
      </w:r>
    </w:p>
    <w:p w14:paraId="4F84F939" w14:textId="46E96058"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hAnsi="Times New Roman" w:cs="Times New Roman"/>
          <w:kern w:val="0"/>
          <w:lang w:val="en-GB"/>
        </w:rPr>
        <w:t>We use</w:t>
      </w:r>
      <w:r w:rsidRPr="00765279">
        <w:rPr>
          <w:rFonts w:ascii="Times New Roman" w:eastAsia="Aptos" w:hAnsi="Times New Roman" w:cs="Times New Roman"/>
          <w:kern w:val="0"/>
          <w:lang w:val="en-GB"/>
        </w:rPr>
        <w:t xml:space="preserve"> an instrumental variable (IV) </w:t>
      </w:r>
      <w:r w:rsidR="000C278E" w:rsidRPr="00765279">
        <w:rPr>
          <w:rFonts w:ascii="Times New Roman" w:hAnsi="Times New Roman" w:cs="Times New Roman"/>
          <w:kern w:val="0"/>
          <w:lang w:val="en-GB"/>
        </w:rPr>
        <w:t>approach</w:t>
      </w:r>
      <w:r w:rsidRPr="00765279">
        <w:rPr>
          <w:rFonts w:ascii="Times New Roman" w:eastAsia="Aptos" w:hAnsi="Times New Roman" w:cs="Times New Roman"/>
          <w:kern w:val="0"/>
          <w:lang w:val="en-GB"/>
        </w:rPr>
        <w:t xml:space="preserve"> to address endogeneity issues related to reverse causality</w:t>
      </w:r>
      <w:r w:rsidRPr="00765279">
        <w:rPr>
          <w:rFonts w:ascii="Times New Roman" w:hAnsi="Times New Roman" w:cs="Times New Roman"/>
          <w:kern w:val="0"/>
          <w:lang w:val="en-GB"/>
        </w:rPr>
        <w:t xml:space="preserve">. </w:t>
      </w:r>
      <w:r w:rsidRPr="00765279">
        <w:rPr>
          <w:rFonts w:ascii="Times New Roman" w:eastAsia="Times New Roman" w:hAnsi="Times New Roman" w:cs="Times New Roman"/>
          <w:kern w:val="0"/>
          <w:lang w:eastAsia="it-IT"/>
          <w14:ligatures w14:val="none"/>
        </w:rPr>
        <w:t xml:space="preserve">To test for reverse causality, we employ the Dumitrescu-Hurlin (2012) panel Granger causality test, which extends the conventional Granger causality framework to heterogeneous panel-data settings. This test allows for parameter heterogeneity across cross-sectional units while examining whether past values of variable X </w:t>
      </w:r>
      <w:r w:rsidR="003D615F" w:rsidRPr="00765279">
        <w:rPr>
          <w:rFonts w:ascii="Times New Roman" w:eastAsia="Times New Roman" w:hAnsi="Times New Roman" w:cs="Times New Roman"/>
          <w:kern w:val="0"/>
          <w:lang w:eastAsia="it-IT"/>
          <w14:ligatures w14:val="none"/>
        </w:rPr>
        <w:t>(</w:t>
      </w:r>
      <w:proofErr w:type="spellStart"/>
      <w:r w:rsidR="003D615F" w:rsidRPr="00765279">
        <w:rPr>
          <w:rFonts w:ascii="Times New Roman" w:eastAsia="Times New Roman" w:hAnsi="Times New Roman" w:cs="Times New Roman"/>
          <w:i/>
          <w:iCs/>
          <w:kern w:val="0"/>
          <w:lang w:eastAsia="it-IT"/>
          <w14:ligatures w14:val="none"/>
        </w:rPr>
        <w:t>env_RTA</w:t>
      </w:r>
      <w:proofErr w:type="spellEnd"/>
      <w:r w:rsidR="003D615F" w:rsidRPr="00765279">
        <w:rPr>
          <w:rFonts w:ascii="Times New Roman" w:eastAsia="Times New Roman" w:hAnsi="Times New Roman" w:cs="Times New Roman"/>
          <w:kern w:val="0"/>
          <w:lang w:eastAsia="it-IT"/>
          <w14:ligatures w14:val="none"/>
        </w:rPr>
        <w:t xml:space="preserve">) </w:t>
      </w:r>
      <w:r w:rsidRPr="00765279">
        <w:rPr>
          <w:rFonts w:ascii="Times New Roman" w:eastAsia="Times New Roman" w:hAnsi="Times New Roman" w:cs="Times New Roman"/>
          <w:kern w:val="0"/>
          <w:lang w:eastAsia="it-IT"/>
          <w14:ligatures w14:val="none"/>
        </w:rPr>
        <w:t xml:space="preserve">provide statistically significant information about </w:t>
      </w:r>
      <w:r w:rsidRPr="00765279">
        <w:rPr>
          <w:rFonts w:ascii="Times New Roman" w:eastAsia="Times New Roman" w:hAnsi="Times New Roman" w:cs="Times New Roman"/>
          <w:kern w:val="0"/>
          <w:lang w:eastAsia="it-IT"/>
        </w:rPr>
        <w:t>the current values of variable Y</w:t>
      </w:r>
      <w:r w:rsidR="003D615F" w:rsidRPr="00765279">
        <w:rPr>
          <w:rFonts w:ascii="Times New Roman" w:eastAsia="Times New Roman" w:hAnsi="Times New Roman" w:cs="Times New Roman"/>
          <w:kern w:val="0"/>
          <w:lang w:eastAsia="it-IT"/>
          <w14:ligatures w14:val="none"/>
        </w:rPr>
        <w:t xml:space="preserve"> (</w:t>
      </w:r>
      <w:r w:rsidR="003D615F" w:rsidRPr="00765279">
        <w:rPr>
          <w:rFonts w:ascii="Times New Roman" w:eastAsia="Times New Roman" w:hAnsi="Times New Roman" w:cs="Times New Roman"/>
          <w:i/>
          <w:iCs/>
          <w:kern w:val="0"/>
          <w:lang w:eastAsia="it-IT"/>
          <w14:ligatures w14:val="none"/>
        </w:rPr>
        <w:t>e</w:t>
      </w:r>
      <m:oMath>
        <m:r>
          <w:rPr>
            <w:rFonts w:ascii="Cambria Math" w:hAnsi="Cambria Math" w:cs="Times New Roman"/>
            <w:kern w:val="0"/>
            <w:lang w:val="en-GB"/>
          </w:rPr>
          <m:t>nvTBT</m:t>
        </m:r>
      </m:oMath>
      <w:r w:rsidR="003D615F" w:rsidRPr="00765279">
        <w:rPr>
          <w:rFonts w:ascii="Times New Roman" w:eastAsia="Times New Roman" w:hAnsi="Times New Roman" w:cs="Times New Roman"/>
          <w:kern w:val="0"/>
          <w:lang w:eastAsia="it-IT"/>
          <w14:ligatures w14:val="none"/>
        </w:rPr>
        <w:t>)</w:t>
      </w:r>
      <w:r w:rsidRPr="00765279">
        <w:rPr>
          <w:rFonts w:ascii="Times New Roman" w:eastAsia="Times New Roman" w:hAnsi="Times New Roman" w:cs="Times New Roman"/>
          <w:kern w:val="0"/>
          <w:lang w:eastAsia="it-IT"/>
          <w14:ligatures w14:val="none"/>
        </w:rPr>
        <w:t xml:space="preserve">, beyond what is captured by </w:t>
      </w:r>
      <w:r w:rsidRPr="00765279">
        <w:rPr>
          <w:rFonts w:ascii="Times New Roman" w:eastAsia="Times New Roman" w:hAnsi="Times New Roman" w:cs="Times New Roman"/>
          <w:kern w:val="0"/>
          <w:lang w:eastAsia="it-IT"/>
        </w:rPr>
        <w:t xml:space="preserve">the past values of Y alone. The </w:t>
      </w:r>
      <w:r w:rsidRPr="00765279">
        <w:rPr>
          <w:rFonts w:ascii="Times New Roman" w:eastAsia="Times New Roman" w:hAnsi="Times New Roman" w:cs="Times New Roman"/>
          <w:kern w:val="0"/>
          <w:lang w:eastAsia="it-IT"/>
          <w14:ligatures w14:val="none"/>
        </w:rPr>
        <w:t>results, reported in Table A.3 in the Appendix, reveal a nuanced causal structure: there is contemporaneous reverse causality (Y causes X), while the causal effect of X on Y operates with a one-period lag. This temporal structure of causality provides important insights into our model specification</w:t>
      </w:r>
      <w:r w:rsidR="00033EA1" w:rsidRPr="00765279">
        <w:rPr>
          <w:rFonts w:ascii="Times New Roman" w:hAnsi="Times New Roman" w:cs="Times New Roman"/>
          <w:kern w:val="0"/>
          <w:lang w:val="en-GB"/>
        </w:rPr>
        <w:t xml:space="preserve"> and justifies the use of lagged explanatory variables as instruments (Bellemare et al., 2017)</w:t>
      </w:r>
      <w:r w:rsidRPr="00765279">
        <w:rPr>
          <w:rFonts w:ascii="Times New Roman" w:eastAsia="Times New Roman" w:hAnsi="Times New Roman" w:cs="Times New Roman"/>
          <w:kern w:val="0"/>
          <w:lang w:eastAsia="it-IT"/>
          <w14:ligatures w14:val="none"/>
        </w:rPr>
        <w:t xml:space="preserve">. </w:t>
      </w:r>
      <w:r w:rsidRPr="00765279">
        <w:rPr>
          <w:rFonts w:ascii="Times New Roman" w:hAnsi="Times New Roman" w:cs="Times New Roman"/>
          <w:kern w:val="0"/>
          <w:lang w:val="en-GB"/>
        </w:rPr>
        <w:t xml:space="preserve">We instrument potentially endogenous </w:t>
      </w:r>
      <w:proofErr w:type="spellStart"/>
      <w:r w:rsidRPr="00765279">
        <w:rPr>
          <w:rFonts w:ascii="Times New Roman" w:hAnsi="Times New Roman" w:cs="Times New Roman"/>
          <w:i/>
          <w:iCs/>
          <w:kern w:val="0"/>
          <w:lang w:val="en-GB"/>
        </w:rPr>
        <w:t>envRTA</w:t>
      </w:r>
      <w:proofErr w:type="spellEnd"/>
      <w:r w:rsidRPr="00765279">
        <w:rPr>
          <w:rFonts w:ascii="Times New Roman" w:hAnsi="Times New Roman" w:cs="Times New Roman"/>
          <w:i/>
          <w:iCs/>
          <w:kern w:val="0"/>
          <w:lang w:val="en-GB"/>
        </w:rPr>
        <w:t xml:space="preserve"> </w:t>
      </w:r>
      <w:r w:rsidRPr="00765279">
        <w:rPr>
          <w:rFonts w:ascii="Times New Roman" w:hAnsi="Times New Roman" w:cs="Times New Roman"/>
          <w:kern w:val="0"/>
          <w:lang w:val="en-GB"/>
        </w:rPr>
        <w:t xml:space="preserve">variables using their first lags. </w:t>
      </w:r>
    </w:p>
    <w:p w14:paraId="3B59DE7E" w14:textId="7171D782" w:rsidR="006344F9" w:rsidRPr="00765279" w:rsidRDefault="00000000" w:rsidP="00804F9D">
      <w:pPr>
        <w:autoSpaceDE w:val="0"/>
        <w:autoSpaceDN w:val="0"/>
        <w:adjustRightInd w:val="0"/>
        <w:spacing w:before="120" w:line="276" w:lineRule="auto"/>
        <w:ind w:right="-1" w:firstLine="360"/>
        <w:jc w:val="both"/>
        <w:rPr>
          <w:rFonts w:ascii="Times New Roman" w:hAnsi="Times New Roman" w:cs="Times New Roman"/>
          <w:color w:val="FF0000"/>
          <w:kern w:val="0"/>
          <w:highlight w:val="yellow"/>
          <w:lang w:val="en-GB"/>
        </w:rPr>
      </w:pPr>
      <w:r w:rsidRPr="00765279">
        <w:rPr>
          <w:rFonts w:ascii="Times New Roman" w:hAnsi="Times New Roman" w:cs="Times New Roman"/>
          <w:kern w:val="0"/>
          <w:lang w:val="en-GB"/>
        </w:rPr>
        <w:t xml:space="preserve">Finally, </w:t>
      </w:r>
      <w:r w:rsidRPr="00765279">
        <w:rPr>
          <w:rFonts w:ascii="Times New Roman" w:hAnsi="Times New Roman" w:cs="Times New Roman"/>
          <w:kern w:val="0"/>
        </w:rPr>
        <w:t xml:space="preserve">the implementation of heteroskedasticity-consistent standard errors addresses </w:t>
      </w:r>
      <w:r w:rsidRPr="00765279">
        <w:rPr>
          <w:rFonts w:ascii="Times New Roman" w:eastAsia="Aptos" w:hAnsi="Times New Roman" w:cs="Times New Roman"/>
          <w:kern w:val="0"/>
        </w:rPr>
        <w:t xml:space="preserve">the potential endogeneity arising from measurement </w:t>
      </w:r>
      <w:r w:rsidRPr="00765279">
        <w:rPr>
          <w:rFonts w:ascii="Times New Roman" w:hAnsi="Times New Roman" w:cs="Times New Roman"/>
          <w:kern w:val="0"/>
        </w:rPr>
        <w:t xml:space="preserve">errors in </w:t>
      </w:r>
      <w:r w:rsidRPr="00765279">
        <w:rPr>
          <w:rFonts w:ascii="Times New Roman" w:eastAsia="Aptos" w:hAnsi="Times New Roman" w:cs="Times New Roman"/>
          <w:kern w:val="0"/>
        </w:rPr>
        <w:t>the panel data. This correction is particularly valuable for small panels</w:t>
      </w:r>
      <w:r w:rsidR="00033EA1" w:rsidRPr="00765279">
        <w:rPr>
          <w:rFonts w:ascii="Times New Roman" w:hAnsi="Times New Roman" w:cs="Times New Roman"/>
          <w:kern w:val="0"/>
        </w:rPr>
        <w:t>,</w:t>
      </w:r>
      <w:r w:rsidRPr="00765279">
        <w:rPr>
          <w:rFonts w:ascii="Times New Roman" w:hAnsi="Times New Roman" w:cs="Times New Roman"/>
          <w:kern w:val="0"/>
        </w:rPr>
        <w:t xml:space="preserve"> as it accounts for heteroskedasticity patterns typical of measurement error bias, </w:t>
      </w:r>
      <w:r w:rsidRPr="00765279">
        <w:rPr>
          <w:rFonts w:ascii="Times New Roman" w:eastAsia="Aptos" w:hAnsi="Times New Roman" w:cs="Times New Roman"/>
          <w:kern w:val="0"/>
        </w:rPr>
        <w:t>thus providing more reliable inferences</w:t>
      </w:r>
      <w:r w:rsidR="00FF6E2B" w:rsidRPr="00765279">
        <w:rPr>
          <w:rFonts w:ascii="Times New Roman" w:hAnsi="Times New Roman" w:cs="Times New Roman"/>
          <w:kern w:val="0"/>
        </w:rPr>
        <w:t>.</w:t>
      </w:r>
      <w:r w:rsidRPr="00765279">
        <w:rPr>
          <w:rFonts w:ascii="Times New Roman" w:hAnsi="Times New Roman" w:cs="Times New Roman"/>
          <w:kern w:val="0"/>
        </w:rPr>
        <w:t xml:space="preserve"> </w:t>
      </w:r>
    </w:p>
    <w:p w14:paraId="01B95900" w14:textId="43CAF266" w:rsidR="006344F9" w:rsidRPr="00765279" w:rsidRDefault="00000000" w:rsidP="004C02FB">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hAnsi="Times New Roman" w:cs="Times New Roman"/>
          <w:lang w:val="en-GB"/>
        </w:rPr>
        <w:t>In these static specifications, although the exogeneity and relevance of the instruments are acknowledged,</w:t>
      </w:r>
      <w:r w:rsidRPr="00765279">
        <w:rPr>
          <w:rFonts w:ascii="Times New Roman" w:hAnsi="Times New Roman" w:cs="Times New Roman"/>
          <w:kern w:val="0"/>
          <w:lang w:val="en-GB"/>
        </w:rPr>
        <w:t xml:space="preserve"> endogeneity problems arise in terms of serial correlation in the residuals. </w:t>
      </w:r>
      <w:r w:rsidR="004C02FB">
        <w:rPr>
          <w:rStyle w:val="Rimandonotaapidipagina"/>
          <w:rFonts w:ascii="Times New Roman" w:hAnsi="Times New Roman" w:cs="Times New Roman"/>
          <w:kern w:val="0"/>
          <w:lang w:val="en-GB"/>
        </w:rPr>
        <w:footnoteReference w:id="10"/>
      </w:r>
      <w:r w:rsidR="004C02FB">
        <w:rPr>
          <w:rFonts w:ascii="Times New Roman" w:hAnsi="Times New Roman" w:cs="Times New Roman"/>
          <w:kern w:val="0"/>
        </w:rPr>
        <w:t xml:space="preserve"> </w:t>
      </w:r>
      <w:r w:rsidRPr="00765279">
        <w:rPr>
          <w:rFonts w:ascii="Times New Roman" w:hAnsi="Times New Roman" w:cs="Times New Roman"/>
          <w:kern w:val="0"/>
        </w:rPr>
        <w:t xml:space="preserve">To control for serial correlation, we add a time-lagged dependent variable and estimate a set of dynamic panel specifications using the generalized method of moments (GMM) estimator. This approach addresses potential </w:t>
      </w:r>
      <w:r w:rsidR="005F2D53" w:rsidRPr="00765279">
        <w:rPr>
          <w:rFonts w:ascii="Times New Roman" w:hAnsi="Times New Roman" w:cs="Times New Roman"/>
          <w:kern w:val="0"/>
        </w:rPr>
        <w:t>concerns</w:t>
      </w:r>
      <w:r w:rsidRPr="00765279">
        <w:rPr>
          <w:rFonts w:ascii="Times New Roman" w:hAnsi="Times New Roman" w:cs="Times New Roman"/>
          <w:kern w:val="0"/>
        </w:rPr>
        <w:t xml:space="preserve"> regarding persistence in both dependent and independent variables, while assessing the dynamic adjustment process in regulatory frameworks </w:t>
      </w:r>
      <w:r w:rsidR="005F2D53" w:rsidRPr="00765279">
        <w:rPr>
          <w:rFonts w:ascii="Times New Roman" w:hAnsi="Times New Roman" w:cs="Times New Roman"/>
          <w:kern w:val="0"/>
        </w:rPr>
        <w:t>and</w:t>
      </w:r>
      <w:r w:rsidRPr="00765279">
        <w:rPr>
          <w:rFonts w:ascii="Times New Roman" w:hAnsi="Times New Roman" w:cs="Times New Roman"/>
          <w:kern w:val="0"/>
        </w:rPr>
        <w:t xml:space="preserve"> controlling for unobserved heterogeneity through the panel structure.</w:t>
      </w:r>
      <w:r w:rsidR="00A834D3" w:rsidRPr="00765279">
        <w:rPr>
          <w:rFonts w:ascii="Times New Roman" w:hAnsi="Times New Roman" w:cs="Times New Roman"/>
          <w:kern w:val="0"/>
        </w:rPr>
        <w:t xml:space="preserve"> Hence, we estimate the following</w:t>
      </w:r>
      <w:r w:rsidRPr="00765279">
        <w:rPr>
          <w:rFonts w:ascii="Times New Roman" w:hAnsi="Times New Roman" w:cs="Times New Roman"/>
          <w:kern w:val="0"/>
          <w:lang w:val="en-GB"/>
        </w:rPr>
        <w:t>:</w:t>
      </w:r>
    </w:p>
    <w:p w14:paraId="3E980494" w14:textId="77777777" w:rsidR="006344F9" w:rsidRPr="00765279" w:rsidRDefault="00000000" w:rsidP="00804F9D">
      <w:pPr>
        <w:autoSpaceDE w:val="0"/>
        <w:autoSpaceDN w:val="0"/>
        <w:adjustRightInd w:val="0"/>
        <w:spacing w:before="120" w:line="276" w:lineRule="auto"/>
        <w:ind w:right="-1"/>
        <w:jc w:val="both"/>
        <w:rPr>
          <w:rFonts w:ascii="Times New Roman" w:hAnsi="Times New Roman" w:cs="Times New Roman"/>
          <w:b/>
          <w:bCs/>
          <w:kern w:val="0"/>
          <w:lang w:val="en-GB"/>
        </w:rPr>
      </w:pPr>
      <m:oMath>
        <m:r>
          <w:rPr>
            <w:rFonts w:ascii="Cambria Math" w:hAnsi="Cambria Math" w:cs="Times New Roman"/>
            <w:kern w:val="0"/>
            <w:lang w:val="en-GB"/>
          </w:rPr>
          <m:t xml:space="preserve">           </m:t>
        </m:r>
        <m:sSub>
          <m:sSubPr>
            <m:ctrlPr>
              <w:rPr>
                <w:rFonts w:ascii="Cambria Math" w:hAnsi="Cambria Math" w:cs="Times New Roman"/>
                <w:i/>
                <w:kern w:val="0"/>
                <w:lang w:val="en-GB"/>
              </w:rPr>
            </m:ctrlPr>
          </m:sSubPr>
          <m:e>
            <m:r>
              <w:rPr>
                <w:rFonts w:ascii="Cambria Math" w:hAnsi="Cambria Math" w:cs="Times New Roman"/>
                <w:kern w:val="0"/>
                <w:lang w:val="en-GB"/>
              </w:rPr>
              <m:t>envTBT</m:t>
            </m:r>
          </m:e>
          <m:sub>
            <m:r>
              <w:rPr>
                <w:rFonts w:ascii="Cambria Math" w:hAnsi="Cambria Math" w:cs="Times New Roman"/>
                <w:kern w:val="0"/>
                <w:lang w:val="en-GB"/>
              </w:rPr>
              <m:t>i,t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α</m:t>
            </m:r>
          </m:e>
          <m:sub>
            <m:r>
              <w:rPr>
                <w:rFonts w:ascii="Cambria Math" w:hAnsi="Cambria Math" w:cs="Times New Roman"/>
                <w:kern w:val="0"/>
                <w:lang w:val="en-GB"/>
              </w:rPr>
              <m:t>i</m:t>
            </m:r>
          </m:sub>
        </m:sSub>
        <m:r>
          <w:rPr>
            <w:rFonts w:ascii="Cambria Math" w:hAnsi="Cambria Math" w:cs="Times New Roman"/>
            <w:kern w:val="0"/>
            <w:lang w:val="en-GB"/>
          </w:rPr>
          <m:t>+λ</m:t>
        </m:r>
        <m:sSub>
          <m:sSubPr>
            <m:ctrlPr>
              <w:rPr>
                <w:rFonts w:ascii="Cambria Math" w:hAnsi="Cambria Math" w:cs="Times New Roman"/>
                <w:i/>
                <w:kern w:val="0"/>
                <w:lang w:val="en-GB"/>
              </w:rPr>
            </m:ctrlPr>
          </m:sSubPr>
          <m:e>
            <m:r>
              <w:rPr>
                <w:rFonts w:ascii="Cambria Math" w:hAnsi="Cambria Math" w:cs="Times New Roman"/>
                <w:kern w:val="0"/>
                <w:lang w:val="en-GB"/>
              </w:rPr>
              <m:t>envTBT</m:t>
            </m:r>
          </m:e>
          <m:sub>
            <m:r>
              <w:rPr>
                <w:rFonts w:ascii="Cambria Math" w:hAnsi="Cambria Math" w:cs="Times New Roman"/>
                <w:kern w:val="0"/>
                <w:lang w:val="en-GB"/>
              </w:rPr>
              <m:t>i,t-1</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β</m:t>
            </m:r>
          </m:e>
          <m:sub>
            <m:r>
              <w:rPr>
                <w:rFonts w:ascii="Cambria Math" w:hAnsi="Cambria Math" w:cs="Times New Roman"/>
                <w:kern w:val="0"/>
                <w:lang w:val="en-GB"/>
              </w:rPr>
              <m:t>1</m:t>
            </m:r>
          </m:sub>
        </m:sSub>
        <m:sSub>
          <m:sSubPr>
            <m:ctrlPr>
              <w:rPr>
                <w:rFonts w:ascii="Cambria Math" w:hAnsi="Cambria Math" w:cs="Times New Roman"/>
                <w:i/>
                <w:kern w:val="0"/>
                <w:lang w:val="en-GB"/>
              </w:rPr>
            </m:ctrlPr>
          </m:sSubPr>
          <m:e>
            <m:r>
              <w:rPr>
                <w:rFonts w:ascii="Cambria Math" w:hAnsi="Cambria Math" w:cs="Times New Roman"/>
                <w:kern w:val="0"/>
                <w:lang w:val="en-GB"/>
              </w:rPr>
              <m:t>envRTA</m:t>
            </m:r>
          </m:e>
          <m:sub>
            <m:r>
              <w:rPr>
                <w:rFonts w:ascii="Cambria Math" w:hAnsi="Cambria Math" w:cs="Times New Roman"/>
                <w:kern w:val="0"/>
                <w:lang w:val="en-GB"/>
              </w:rPr>
              <m:t>i,t</m:t>
            </m:r>
          </m:sub>
        </m:sSub>
        <m:r>
          <w:rPr>
            <w:rFonts w:ascii="Cambria Math" w:hAnsi="Cambria Math" w:cs="Times New Roman"/>
            <w:kern w:val="0"/>
            <w:lang w:val="en-GB"/>
          </w:rPr>
          <m:t>+</m:t>
        </m:r>
        <m:nary>
          <m:naryPr>
            <m:chr m:val="∑"/>
            <m:limLoc m:val="undOvr"/>
            <m:ctrlPr>
              <w:rPr>
                <w:rFonts w:ascii="Cambria Math" w:hAnsi="Cambria Math" w:cs="Times New Roman"/>
                <w:i/>
                <w:kern w:val="0"/>
                <w:lang w:val="en-GB"/>
              </w:rPr>
            </m:ctrlPr>
          </m:naryPr>
          <m:sub>
            <m:r>
              <w:rPr>
                <w:rFonts w:ascii="Cambria Math" w:hAnsi="Cambria Math" w:cs="Times New Roman"/>
                <w:kern w:val="0"/>
                <w:lang w:val="en-GB"/>
              </w:rPr>
              <m:t>z=1</m:t>
            </m:r>
          </m:sub>
          <m:sup>
            <m:r>
              <w:rPr>
                <w:rFonts w:ascii="Cambria Math" w:hAnsi="Cambria Math" w:cs="Times New Roman"/>
                <w:kern w:val="0"/>
                <w:lang w:val="en-GB"/>
              </w:rPr>
              <m:t>k</m:t>
            </m:r>
          </m:sup>
          <m:e>
            <m:sSub>
              <m:sSubPr>
                <m:ctrlPr>
                  <w:rPr>
                    <w:rFonts w:ascii="Cambria Math" w:hAnsi="Cambria Math" w:cs="Times New Roman"/>
                    <w:i/>
                    <w:kern w:val="0"/>
                    <w:lang w:val="en-GB"/>
                  </w:rPr>
                </m:ctrlPr>
              </m:sSubPr>
              <m:e>
                <m:r>
                  <w:rPr>
                    <w:rFonts w:ascii="Cambria Math" w:hAnsi="Cambria Math" w:cs="Times New Roman"/>
                    <w:kern w:val="0"/>
                    <w:lang w:val="en-GB"/>
                  </w:rPr>
                  <m:t>γ</m:t>
                </m:r>
              </m:e>
              <m:sub>
                <m:r>
                  <w:rPr>
                    <w:rFonts w:ascii="Cambria Math" w:hAnsi="Cambria Math" w:cs="Times New Roman"/>
                    <w:kern w:val="0"/>
                    <w:lang w:val="en-GB"/>
                  </w:rPr>
                  <m:t>z</m:t>
                </m:r>
              </m:sub>
            </m:sSub>
            <m:sSubSup>
              <m:sSubSupPr>
                <m:ctrlPr>
                  <w:rPr>
                    <w:rFonts w:ascii="Cambria Math" w:hAnsi="Cambria Math" w:cs="Times New Roman"/>
                    <w:i/>
                    <w:kern w:val="0"/>
                    <w:lang w:val="en-GB"/>
                  </w:rPr>
                </m:ctrlPr>
              </m:sSubSupPr>
              <m:e>
                <m:r>
                  <w:rPr>
                    <w:rFonts w:ascii="Cambria Math" w:hAnsi="Cambria Math" w:cs="Times New Roman"/>
                    <w:kern w:val="0"/>
                    <w:lang w:val="en-GB"/>
                  </w:rPr>
                  <m:t>x</m:t>
                </m:r>
              </m:e>
              <m:sub>
                <m:r>
                  <w:rPr>
                    <w:rFonts w:ascii="Cambria Math" w:hAnsi="Cambria Math" w:cs="Times New Roman"/>
                    <w:kern w:val="0"/>
                    <w:lang w:val="en-GB"/>
                  </w:rPr>
                  <m:t>i,t</m:t>
                </m:r>
              </m:sub>
              <m:sup>
                <m:r>
                  <w:rPr>
                    <w:rFonts w:ascii="Cambria Math" w:hAnsi="Cambria Math" w:cs="Times New Roman"/>
                    <w:kern w:val="0"/>
                    <w:lang w:val="en-GB"/>
                  </w:rPr>
                  <m:t>z</m:t>
                </m:r>
              </m:sup>
            </m:sSubSup>
          </m:e>
        </m:nary>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i,t</m:t>
            </m:r>
          </m:sub>
        </m:sSub>
      </m:oMath>
      <w:r w:rsidRPr="00765279">
        <w:rPr>
          <w:rFonts w:ascii="Times New Roman" w:eastAsiaTheme="minorEastAsia" w:hAnsi="Times New Roman" w:cs="Times New Roman"/>
          <w:kern w:val="0"/>
          <w:lang w:val="en-GB"/>
        </w:rPr>
        <w:t xml:space="preserve">             2)</w:t>
      </w:r>
    </w:p>
    <w:p w14:paraId="68F488B8" w14:textId="4D484A05"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hAnsi="Times New Roman" w:cs="Times New Roman"/>
          <w:kern w:val="0"/>
          <w:lang w:val="en-GB"/>
        </w:rPr>
        <w:t>Finally, t</w:t>
      </w:r>
      <w:r w:rsidR="00B95DFC" w:rsidRPr="00765279">
        <w:rPr>
          <w:rFonts w:ascii="Times New Roman" w:hAnsi="Times New Roman" w:cs="Times New Roman"/>
          <w:kern w:val="0"/>
          <w:lang w:val="en-GB"/>
        </w:rPr>
        <w:t>o</w:t>
      </w:r>
      <w:r w:rsidRPr="00765279">
        <w:rPr>
          <w:rFonts w:ascii="Times New Roman" w:hAnsi="Times New Roman" w:cs="Times New Roman"/>
          <w:kern w:val="0"/>
          <w:lang w:val="en-GB"/>
        </w:rPr>
        <w:t xml:space="preserve"> capture spatial interactions across units and over time</w:t>
      </w:r>
      <w:r w:rsidR="00196726" w:rsidRPr="00765279">
        <w:rPr>
          <w:rFonts w:ascii="Times New Roman" w:hAnsi="Times New Roman" w:cs="Times New Roman"/>
          <w:kern w:val="0"/>
          <w:lang w:val="en-GB"/>
        </w:rPr>
        <w:t>,</w:t>
      </w:r>
      <w:r w:rsidRPr="00765279">
        <w:rPr>
          <w:rFonts w:ascii="Times New Roman" w:hAnsi="Times New Roman" w:cs="Times New Roman"/>
          <w:kern w:val="0"/>
          <w:lang w:val="en-GB"/>
        </w:rPr>
        <w:t xml:space="preserve"> we use</w:t>
      </w:r>
      <w:r w:rsidRPr="00765279">
        <w:rPr>
          <w:rFonts w:ascii="Times New Roman" w:eastAsia="Aptos" w:hAnsi="Times New Roman" w:cs="Times New Roman"/>
          <w:kern w:val="0"/>
          <w:lang w:val="en-GB"/>
        </w:rPr>
        <w:t xml:space="preserve"> a spatial lag model (</w:t>
      </w:r>
      <w:proofErr w:type="spellStart"/>
      <w:r w:rsidRPr="00765279">
        <w:rPr>
          <w:rFonts w:ascii="Times New Roman" w:hAnsi="Times New Roman" w:cs="Times New Roman"/>
          <w:kern w:val="0"/>
          <w:lang w:val="en-GB"/>
        </w:rPr>
        <w:t>Anselin</w:t>
      </w:r>
      <w:proofErr w:type="spellEnd"/>
      <w:r w:rsidRPr="00765279">
        <w:rPr>
          <w:rFonts w:ascii="Times New Roman" w:hAnsi="Times New Roman" w:cs="Times New Roman"/>
          <w:kern w:val="0"/>
          <w:lang w:val="en-GB"/>
        </w:rPr>
        <w:t xml:space="preserve">, 2009; Kelejian, Prucha, 1999). </w:t>
      </w:r>
      <w:r w:rsidRPr="00765279">
        <w:rPr>
          <w:rFonts w:ascii="Times New Roman" w:hAnsi="Times New Roman" w:cs="Times New Roman"/>
          <w:kern w:val="0"/>
        </w:rPr>
        <w:t xml:space="preserve">To account for spatial endogeneity concerns, we implement spatial econometric techniques that explicitly model cross-sectional dependence using spatial weight matrices based on trade relationships and geographical proximity. This approach allows us to control for potential regulatory spillovers and policy diffusion effects across countries that share trade connections and regional characteristics. </w:t>
      </w:r>
      <w:r w:rsidRPr="00765279">
        <w:rPr>
          <w:rFonts w:ascii="Times New Roman" w:hAnsi="Times New Roman" w:cs="Times New Roman"/>
          <w:kern w:val="0"/>
          <w:lang w:val="en-GB"/>
        </w:rPr>
        <w:t>A spatial dynamic panel model is the most appropriate for control</w:t>
      </w:r>
      <w:r w:rsidRPr="00765279">
        <w:rPr>
          <w:rFonts w:ascii="Times New Roman" w:eastAsia="Aptos" w:hAnsi="Times New Roman" w:cs="Times New Roman"/>
          <w:kern w:val="0"/>
          <w:lang w:val="en-GB"/>
        </w:rPr>
        <w:t xml:space="preserve">ling for </w:t>
      </w:r>
      <w:r w:rsidRPr="00765279">
        <w:rPr>
          <w:rFonts w:ascii="Times New Roman" w:hAnsi="Times New Roman" w:cs="Times New Roman"/>
          <w:kern w:val="0"/>
          <w:lang w:val="en-GB"/>
        </w:rPr>
        <w:t>serial correlation</w:t>
      </w:r>
      <w:r w:rsidRPr="00765279">
        <w:rPr>
          <w:rFonts w:ascii="Times New Roman" w:eastAsia="Aptos" w:hAnsi="Times New Roman" w:cs="Times New Roman"/>
          <w:kern w:val="0"/>
          <w:lang w:val="en-GB"/>
        </w:rPr>
        <w:t>s</w:t>
      </w:r>
      <w:r w:rsidRPr="00765279">
        <w:rPr>
          <w:rFonts w:ascii="Times New Roman" w:hAnsi="Times New Roman" w:cs="Times New Roman"/>
          <w:kern w:val="0"/>
          <w:lang w:val="en-GB"/>
        </w:rPr>
        <w:t xml:space="preserve"> between countries.</w:t>
      </w:r>
    </w:p>
    <w:p w14:paraId="082DDB5B" w14:textId="16C8F484"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hAnsi="Times New Roman" w:cs="Times New Roman"/>
          <w:kern w:val="0"/>
          <w:lang w:val="en-GB"/>
        </w:rPr>
        <w:t xml:space="preserve">The extent of </w:t>
      </w:r>
      <w:r w:rsidRPr="00765279">
        <w:rPr>
          <w:rFonts w:ascii="Times New Roman" w:eastAsia="Aptos" w:hAnsi="Times New Roman" w:cs="Times New Roman"/>
          <w:kern w:val="0"/>
          <w:lang w:val="en-GB"/>
        </w:rPr>
        <w:t xml:space="preserve">the cross-sectional correlation is measured using a ‘spatial matrix’ </w:t>
      </w:r>
      <w:r w:rsidRPr="00765279">
        <w:rPr>
          <w:rFonts w:ascii="Times New Roman" w:hAnsi="Times New Roman" w:cs="Times New Roman"/>
          <w:i/>
          <w:iCs/>
          <w:kern w:val="0"/>
          <w:lang w:val="en-GB"/>
        </w:rPr>
        <w:t>W</w:t>
      </w:r>
      <w:r w:rsidRPr="00765279">
        <w:rPr>
          <w:rFonts w:ascii="Times New Roman" w:hAnsi="Times New Roman" w:cs="Times New Roman"/>
          <w:kern w:val="0"/>
          <w:lang w:val="en-GB"/>
        </w:rPr>
        <w:t xml:space="preserve">, </w:t>
      </w:r>
      <w:r w:rsidRPr="00765279">
        <w:rPr>
          <w:rFonts w:ascii="Times New Roman" w:eastAsia="Aptos" w:hAnsi="Times New Roman" w:cs="Times New Roman"/>
          <w:kern w:val="0"/>
          <w:lang w:val="en-GB"/>
        </w:rPr>
        <w:t xml:space="preserve">which is a non-negative </w:t>
      </w:r>
      <w:r w:rsidRPr="00765279">
        <w:rPr>
          <w:rFonts w:ascii="Times New Roman" w:hAnsi="Times New Roman" w:cs="Times New Roman"/>
          <w:i/>
          <w:iCs/>
          <w:kern w:val="0"/>
          <w:lang w:val="en-GB"/>
        </w:rPr>
        <w:t>N × N</w:t>
      </w:r>
      <w:r w:rsidRPr="00765279">
        <w:rPr>
          <w:rFonts w:ascii="Times New Roman" w:hAnsi="Times New Roman" w:cs="Times New Roman"/>
          <w:kern w:val="0"/>
          <w:lang w:val="en-GB"/>
        </w:rPr>
        <w:t xml:space="preserve"> matrix (where </w:t>
      </w:r>
      <w:r w:rsidRPr="00765279">
        <w:rPr>
          <w:rFonts w:ascii="Times New Roman" w:hAnsi="Times New Roman" w:cs="Times New Roman"/>
          <w:i/>
          <w:iCs/>
          <w:kern w:val="0"/>
          <w:lang w:val="en-GB"/>
        </w:rPr>
        <w:t>N</w:t>
      </w:r>
      <w:r w:rsidRPr="00765279">
        <w:rPr>
          <w:rFonts w:ascii="Times New Roman" w:hAnsi="Times New Roman" w:cs="Times New Roman"/>
          <w:kern w:val="0"/>
          <w:lang w:val="en-GB"/>
        </w:rPr>
        <w:t xml:space="preserve"> is the number of countries) of known constants. </w:t>
      </w:r>
      <w:r w:rsidRPr="00765279">
        <w:rPr>
          <w:rFonts w:ascii="Times New Roman" w:hAnsi="Times New Roman" w:cs="Times New Roman"/>
          <w:i/>
          <w:iCs/>
          <w:kern w:val="0"/>
          <w:lang w:val="en-GB"/>
        </w:rPr>
        <w:t>W</w:t>
      </w:r>
      <w:r w:rsidRPr="00765279">
        <w:rPr>
          <w:rFonts w:ascii="Times New Roman" w:hAnsi="Times New Roman" w:cs="Times New Roman"/>
          <w:kern w:val="0"/>
          <w:lang w:val="en-GB"/>
        </w:rPr>
        <w:t xml:space="preserve"> describes the spatial arrangement of the units in the sample</w:t>
      </w:r>
      <w:r w:rsidRPr="00765279">
        <w:rPr>
          <w:rFonts w:ascii="Times New Roman" w:eastAsia="Aptos" w:hAnsi="Times New Roman" w:cs="Times New Roman"/>
          <w:kern w:val="0"/>
          <w:lang w:val="en-GB"/>
        </w:rPr>
        <w:t xml:space="preserve">, and its non-zero element </w:t>
      </w:r>
      <w:proofErr w:type="spellStart"/>
      <w:r w:rsidRPr="00765279">
        <w:rPr>
          <w:rFonts w:ascii="Times New Roman" w:hAnsi="Times New Roman" w:cs="Times New Roman"/>
          <w:i/>
          <w:iCs/>
          <w:kern w:val="0"/>
          <w:lang w:val="en-GB"/>
        </w:rPr>
        <w:t>w</w:t>
      </w:r>
      <w:r w:rsidRPr="00765279">
        <w:rPr>
          <w:rFonts w:ascii="Times New Roman" w:hAnsi="Times New Roman" w:cs="Times New Roman"/>
          <w:i/>
          <w:iCs/>
          <w:kern w:val="0"/>
          <w:vertAlign w:val="subscript"/>
          <w:lang w:val="en-GB"/>
        </w:rPr>
        <w:t>ij</w:t>
      </w:r>
      <w:proofErr w:type="spellEnd"/>
      <w:r w:rsidRPr="00765279">
        <w:rPr>
          <w:rFonts w:ascii="Times New Roman" w:hAnsi="Times New Roman" w:cs="Times New Roman"/>
          <w:kern w:val="0"/>
          <w:lang w:val="en-GB"/>
        </w:rPr>
        <w:t xml:space="preserve"> specifies the </w:t>
      </w:r>
      <w:r w:rsidRPr="00765279">
        <w:rPr>
          <w:rFonts w:ascii="Times New Roman" w:hAnsi="Times New Roman" w:cs="Times New Roman"/>
          <w:kern w:val="0"/>
          <w:lang w:val="en-GB"/>
        </w:rPr>
        <w:lastRenderedPageBreak/>
        <w:t xml:space="preserve">strength of the relationship between county </w:t>
      </w:r>
      <w:proofErr w:type="spellStart"/>
      <w:r w:rsidRPr="00765279">
        <w:rPr>
          <w:rFonts w:ascii="Times New Roman" w:hAnsi="Times New Roman" w:cs="Times New Roman"/>
          <w:i/>
          <w:iCs/>
          <w:kern w:val="0"/>
          <w:lang w:val="en-GB"/>
        </w:rPr>
        <w:t>i</w:t>
      </w:r>
      <w:proofErr w:type="spellEnd"/>
      <w:r w:rsidRPr="00765279">
        <w:rPr>
          <w:rFonts w:ascii="Times New Roman" w:hAnsi="Times New Roman" w:cs="Times New Roman"/>
          <w:kern w:val="0"/>
          <w:lang w:val="en-GB"/>
        </w:rPr>
        <w:t xml:space="preserve"> and country </w:t>
      </w:r>
      <w:r w:rsidRPr="00765279">
        <w:rPr>
          <w:rFonts w:ascii="Times New Roman" w:hAnsi="Times New Roman" w:cs="Times New Roman"/>
          <w:i/>
          <w:iCs/>
          <w:kern w:val="0"/>
          <w:lang w:val="en-GB"/>
        </w:rPr>
        <w:t>j</w:t>
      </w:r>
      <w:r w:rsidRPr="00765279">
        <w:rPr>
          <w:rFonts w:ascii="Times New Roman" w:hAnsi="Times New Roman" w:cs="Times New Roman"/>
          <w:kern w:val="0"/>
          <w:lang w:val="en-GB"/>
        </w:rPr>
        <w:t xml:space="preserve">. Moreover, </w:t>
      </w:r>
      <w:proofErr w:type="spellStart"/>
      <w:r w:rsidRPr="00765279">
        <w:rPr>
          <w:rFonts w:ascii="Times New Roman" w:hAnsi="Times New Roman" w:cs="Times New Roman"/>
          <w:i/>
          <w:iCs/>
          <w:kern w:val="0"/>
          <w:lang w:val="en-GB"/>
        </w:rPr>
        <w:t>w</w:t>
      </w:r>
      <w:r w:rsidRPr="00765279">
        <w:rPr>
          <w:rFonts w:ascii="Times New Roman" w:hAnsi="Times New Roman" w:cs="Times New Roman"/>
          <w:i/>
          <w:iCs/>
          <w:kern w:val="0"/>
          <w:vertAlign w:val="subscript"/>
          <w:lang w:val="en-GB"/>
        </w:rPr>
        <w:t>ij</w:t>
      </w:r>
      <w:proofErr w:type="spellEnd"/>
      <w:r w:rsidRPr="00765279">
        <w:rPr>
          <w:rFonts w:ascii="Times New Roman" w:hAnsi="Times New Roman" w:cs="Times New Roman"/>
          <w:kern w:val="0"/>
          <w:lang w:val="en-GB"/>
        </w:rPr>
        <w:t xml:space="preserve"> indicates whether two locations can be considered as </w:t>
      </w:r>
      <w:r w:rsidR="00862FEB" w:rsidRPr="00765279">
        <w:rPr>
          <w:rFonts w:ascii="Times New Roman" w:hAnsi="Times New Roman" w:cs="Times New Roman"/>
          <w:kern w:val="0"/>
          <w:lang w:val="en-GB"/>
        </w:rPr>
        <w:t>neighbours</w:t>
      </w:r>
      <w:r w:rsidRPr="00765279">
        <w:rPr>
          <w:rFonts w:ascii="Times New Roman" w:hAnsi="Times New Roman" w:cs="Times New Roman"/>
          <w:kern w:val="0"/>
          <w:lang w:val="en-GB"/>
        </w:rPr>
        <w:t xml:space="preserve">. The diagonal elements </w:t>
      </w:r>
      <w:proofErr w:type="spellStart"/>
      <w:r w:rsidRPr="00765279">
        <w:rPr>
          <w:rFonts w:ascii="Times New Roman" w:hAnsi="Times New Roman" w:cs="Times New Roman"/>
          <w:i/>
          <w:iCs/>
          <w:kern w:val="0"/>
          <w:lang w:val="en-GB"/>
        </w:rPr>
        <w:t>w</w:t>
      </w:r>
      <w:r w:rsidRPr="00765279">
        <w:rPr>
          <w:rFonts w:ascii="Times New Roman" w:hAnsi="Times New Roman" w:cs="Times New Roman"/>
          <w:i/>
          <w:iCs/>
          <w:kern w:val="0"/>
          <w:vertAlign w:val="subscript"/>
          <w:lang w:val="en-GB"/>
        </w:rPr>
        <w:t>ii</w:t>
      </w:r>
      <w:proofErr w:type="spellEnd"/>
      <w:r w:rsidRPr="00765279">
        <w:rPr>
          <w:rFonts w:ascii="Times New Roman" w:hAnsi="Times New Roman" w:cs="Times New Roman"/>
          <w:kern w:val="0"/>
          <w:lang w:val="en-GB"/>
        </w:rPr>
        <w:t xml:space="preserve"> are all set equal to 0 to exclude self-</w:t>
      </w:r>
      <w:r w:rsidR="00862FEB" w:rsidRPr="00765279">
        <w:rPr>
          <w:rFonts w:ascii="Times New Roman" w:hAnsi="Times New Roman" w:cs="Times New Roman"/>
          <w:kern w:val="0"/>
          <w:lang w:val="en-GB"/>
        </w:rPr>
        <w:t>neighbours</w:t>
      </w:r>
      <w:r w:rsidRPr="00765279">
        <w:rPr>
          <w:rFonts w:ascii="Times New Roman" w:hAnsi="Times New Roman" w:cs="Times New Roman"/>
          <w:kern w:val="0"/>
          <w:lang w:val="en-GB"/>
        </w:rPr>
        <w:t xml:space="preserve"> by convention. Such a weighted spatial matrix is not symmetric and is generally used in row-standardized form. </w:t>
      </w:r>
    </w:p>
    <w:p w14:paraId="6244E3BC" w14:textId="77777777"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hAnsi="Times New Roman" w:cs="Times New Roman"/>
          <w:kern w:val="0"/>
          <w:lang w:val="en-GB"/>
        </w:rPr>
        <w:t>We hence estimate the following spatial autoregressive (SAR) model:</w:t>
      </w:r>
    </w:p>
    <w:p w14:paraId="07E18D8D" w14:textId="3F5A78A9" w:rsidR="006344F9" w:rsidRPr="00765279" w:rsidRDefault="00000000" w:rsidP="00804F9D">
      <w:pPr>
        <w:autoSpaceDE w:val="0"/>
        <w:autoSpaceDN w:val="0"/>
        <w:adjustRightInd w:val="0"/>
        <w:spacing w:before="120" w:line="276" w:lineRule="auto"/>
        <w:ind w:right="-1" w:firstLine="142"/>
        <w:jc w:val="both"/>
        <w:rPr>
          <w:rFonts w:ascii="Times New Roman" w:eastAsiaTheme="minorEastAsia" w:hAnsi="Times New Roman" w:cs="Times New Roman"/>
          <w:kern w:val="0"/>
          <w:lang w:val="en-GB"/>
        </w:rPr>
      </w:pPr>
      <m:oMath>
        <m:r>
          <w:rPr>
            <w:rFonts w:ascii="Cambria Math" w:hAnsi="Cambria Math" w:cs="Times New Roman"/>
            <w:kern w:val="0"/>
            <w:lang w:val="en-GB"/>
          </w:rPr>
          <m:t xml:space="preserve">   </m:t>
        </m:r>
        <m:sSub>
          <m:sSubPr>
            <m:ctrlPr>
              <w:rPr>
                <w:rFonts w:ascii="Cambria Math" w:hAnsi="Cambria Math" w:cs="Times New Roman"/>
                <w:i/>
                <w:kern w:val="0"/>
                <w:lang w:val="en-GB"/>
              </w:rPr>
            </m:ctrlPr>
          </m:sSubPr>
          <m:e>
            <m:r>
              <w:rPr>
                <w:rFonts w:ascii="Cambria Math" w:hAnsi="Cambria Math" w:cs="Times New Roman"/>
                <w:kern w:val="0"/>
                <w:lang w:val="en-GB"/>
              </w:rPr>
              <m:t>envTBT</m:t>
            </m:r>
          </m:e>
          <m:sub>
            <m:r>
              <w:rPr>
                <w:rFonts w:ascii="Cambria Math" w:hAnsi="Cambria Math" w:cs="Times New Roman"/>
                <w:kern w:val="0"/>
                <w:lang w:val="en-GB"/>
              </w:rPr>
              <m:t>i,t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α</m:t>
            </m:r>
          </m:e>
          <m:sub>
            <m:r>
              <w:rPr>
                <w:rFonts w:ascii="Cambria Math" w:hAnsi="Cambria Math" w:cs="Times New Roman"/>
                <w:kern w:val="0"/>
                <w:lang w:val="en-GB"/>
              </w:rPr>
              <m:t>i</m:t>
            </m:r>
          </m:sub>
        </m:sSub>
        <m:r>
          <w:rPr>
            <w:rFonts w:ascii="Cambria Math" w:hAnsi="Cambria Math" w:cs="Times New Roman"/>
            <w:kern w:val="0"/>
            <w:lang w:val="en-GB"/>
          </w:rPr>
          <m:t>+λ</m:t>
        </m:r>
        <m:nary>
          <m:naryPr>
            <m:chr m:val="∑"/>
            <m:limLoc m:val="undOvr"/>
            <m:ctrlPr>
              <w:rPr>
                <w:rFonts w:ascii="Cambria Math" w:hAnsi="Cambria Math" w:cs="Times New Roman"/>
                <w:i/>
                <w:kern w:val="0"/>
                <w:lang w:val="en-GB"/>
              </w:rPr>
            </m:ctrlPr>
          </m:naryPr>
          <m:sub>
            <m:r>
              <w:rPr>
                <w:rFonts w:ascii="Cambria Math" w:hAnsi="Cambria Math" w:cs="Times New Roman"/>
                <w:kern w:val="0"/>
                <w:lang w:val="en-GB"/>
              </w:rPr>
              <m:t>i≠j</m:t>
            </m:r>
          </m:sub>
          <m:sup/>
          <m:e>
            <m:sSub>
              <m:sSubPr>
                <m:ctrlPr>
                  <w:rPr>
                    <w:rFonts w:ascii="Cambria Math" w:hAnsi="Cambria Math" w:cs="Times New Roman"/>
                    <w:i/>
                    <w:kern w:val="0"/>
                    <w:lang w:val="en-GB"/>
                  </w:rPr>
                </m:ctrlPr>
              </m:sSubPr>
              <m:e>
                <m:r>
                  <w:rPr>
                    <w:rFonts w:ascii="Cambria Math" w:hAnsi="Cambria Math" w:cs="Times New Roman"/>
                    <w:kern w:val="0"/>
                    <w:lang w:val="en-GB"/>
                  </w:rPr>
                  <m:t>w</m:t>
                </m:r>
              </m:e>
              <m:sub>
                <m:r>
                  <w:rPr>
                    <w:rFonts w:ascii="Cambria Math" w:hAnsi="Cambria Math" w:cs="Times New Roman"/>
                    <w:kern w:val="0"/>
                    <w:lang w:val="en-GB"/>
                  </w:rPr>
                  <m:t>.j,t</m:t>
                </m:r>
              </m:sub>
            </m:sSub>
          </m:e>
        </m:nary>
        <m:sSub>
          <m:sSubPr>
            <m:ctrlPr>
              <w:rPr>
                <w:rFonts w:ascii="Cambria Math" w:hAnsi="Cambria Math" w:cs="Times New Roman"/>
                <w:i/>
                <w:kern w:val="0"/>
                <w:lang w:val="en-GB"/>
              </w:rPr>
            </m:ctrlPr>
          </m:sSubPr>
          <m:e>
            <m:r>
              <w:rPr>
                <w:rFonts w:ascii="Cambria Math" w:hAnsi="Cambria Math" w:cs="Times New Roman"/>
                <w:kern w:val="0"/>
                <w:lang w:val="en-GB"/>
              </w:rPr>
              <m:t>envTBT</m:t>
            </m:r>
          </m:e>
          <m:sub>
            <m:r>
              <w:rPr>
                <w:rFonts w:ascii="Cambria Math" w:hAnsi="Cambria Math" w:cs="Times New Roman"/>
                <w:kern w:val="0"/>
                <w:lang w:val="en-GB"/>
              </w:rPr>
              <m:t>j,t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β</m:t>
            </m:r>
          </m:e>
          <m:sub>
            <m:r>
              <w:rPr>
                <w:rFonts w:ascii="Cambria Math" w:hAnsi="Cambria Math" w:cs="Times New Roman"/>
                <w:kern w:val="0"/>
                <w:lang w:val="en-GB"/>
              </w:rPr>
              <m:t>1</m:t>
            </m:r>
          </m:sub>
        </m:sSub>
        <m:sSub>
          <m:sSubPr>
            <m:ctrlPr>
              <w:rPr>
                <w:rFonts w:ascii="Cambria Math" w:hAnsi="Cambria Math" w:cs="Times New Roman"/>
                <w:i/>
                <w:kern w:val="0"/>
                <w:lang w:val="en-GB"/>
              </w:rPr>
            </m:ctrlPr>
          </m:sSubPr>
          <m:e>
            <m:r>
              <w:rPr>
                <w:rFonts w:ascii="Cambria Math" w:hAnsi="Cambria Math" w:cs="Times New Roman"/>
                <w:kern w:val="0"/>
                <w:lang w:val="en-GB"/>
              </w:rPr>
              <m:t>en</m:t>
            </m:r>
            <m:sSub>
              <m:sSubPr>
                <m:ctrlPr>
                  <w:rPr>
                    <w:rFonts w:ascii="Cambria Math" w:hAnsi="Cambria Math" w:cs="Times New Roman"/>
                    <w:i/>
                    <w:kern w:val="0"/>
                    <w:lang w:val="en-GB"/>
                  </w:rPr>
                </m:ctrlPr>
              </m:sSubPr>
              <m:e>
                <m:r>
                  <w:rPr>
                    <w:rFonts w:ascii="Cambria Math" w:hAnsi="Cambria Math" w:cs="Times New Roman"/>
                    <w:kern w:val="0"/>
                    <w:lang w:val="en-GB"/>
                  </w:rPr>
                  <m:t>vRTA</m:t>
                </m:r>
              </m:e>
              <m:sub>
                <m:r>
                  <w:rPr>
                    <w:rFonts w:ascii="Cambria Math" w:hAnsi="Cambria Math" w:cs="Times New Roman"/>
                    <w:kern w:val="0"/>
                    <w:lang w:val="en-GB"/>
                  </w:rPr>
                  <m:t>it</m:t>
                </m:r>
              </m:sub>
            </m:sSub>
          </m:e>
          <m:sub/>
        </m:sSub>
      </m:oMath>
      <w:r w:rsidRPr="00765279">
        <w:rPr>
          <w:rFonts w:ascii="Times New Roman" w:eastAsiaTheme="minorEastAsia" w:hAnsi="Times New Roman" w:cs="Times New Roman"/>
          <w:kern w:val="0"/>
          <w:lang w:val="en-GB"/>
        </w:rPr>
        <w:t>+</w:t>
      </w:r>
    </w:p>
    <w:p w14:paraId="72FFFD10" w14:textId="77777777"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m:oMath>
        <m:r>
          <w:rPr>
            <w:rFonts w:ascii="Cambria Math" w:hAnsi="Cambria Math" w:cs="Times New Roman"/>
            <w:kern w:val="0"/>
            <w:lang w:val="en-GB"/>
          </w:rPr>
          <m:t xml:space="preserve">                                                 +</m:t>
        </m:r>
        <m:nary>
          <m:naryPr>
            <m:chr m:val="∑"/>
            <m:limLoc m:val="undOvr"/>
            <m:ctrlPr>
              <w:rPr>
                <w:rFonts w:ascii="Cambria Math" w:hAnsi="Cambria Math" w:cs="Times New Roman"/>
                <w:i/>
                <w:kern w:val="0"/>
                <w:lang w:val="en-GB"/>
              </w:rPr>
            </m:ctrlPr>
          </m:naryPr>
          <m:sub>
            <m:r>
              <w:rPr>
                <w:rFonts w:ascii="Cambria Math" w:hAnsi="Cambria Math" w:cs="Times New Roman"/>
                <w:kern w:val="0"/>
                <w:lang w:val="en-GB"/>
              </w:rPr>
              <m:t>z=1</m:t>
            </m:r>
          </m:sub>
          <m:sup>
            <m:r>
              <w:rPr>
                <w:rFonts w:ascii="Cambria Math" w:hAnsi="Cambria Math" w:cs="Times New Roman"/>
                <w:kern w:val="0"/>
                <w:lang w:val="en-GB"/>
              </w:rPr>
              <m:t>k</m:t>
            </m:r>
          </m:sup>
          <m:e>
            <m:sSub>
              <m:sSubPr>
                <m:ctrlPr>
                  <w:rPr>
                    <w:rFonts w:ascii="Cambria Math" w:hAnsi="Cambria Math" w:cs="Times New Roman"/>
                    <w:i/>
                    <w:kern w:val="0"/>
                    <w:lang w:val="en-GB"/>
                  </w:rPr>
                </m:ctrlPr>
              </m:sSubPr>
              <m:e>
                <m:r>
                  <w:rPr>
                    <w:rFonts w:ascii="Cambria Math" w:hAnsi="Cambria Math" w:cs="Times New Roman"/>
                    <w:kern w:val="0"/>
                    <w:lang w:val="en-GB"/>
                  </w:rPr>
                  <m:t>γ</m:t>
                </m:r>
              </m:e>
              <m:sub>
                <m:r>
                  <w:rPr>
                    <w:rFonts w:ascii="Cambria Math" w:hAnsi="Cambria Math" w:cs="Times New Roman"/>
                    <w:kern w:val="0"/>
                    <w:lang w:val="en-GB"/>
                  </w:rPr>
                  <m:t>z</m:t>
                </m:r>
              </m:sub>
            </m:sSub>
            <m:sSubSup>
              <m:sSubSupPr>
                <m:ctrlPr>
                  <w:rPr>
                    <w:rFonts w:ascii="Cambria Math" w:hAnsi="Cambria Math" w:cs="Times New Roman"/>
                    <w:i/>
                    <w:kern w:val="0"/>
                    <w:lang w:val="en-GB"/>
                  </w:rPr>
                </m:ctrlPr>
              </m:sSubSupPr>
              <m:e>
                <m:r>
                  <w:rPr>
                    <w:rFonts w:ascii="Cambria Math" w:hAnsi="Cambria Math" w:cs="Times New Roman"/>
                    <w:kern w:val="0"/>
                    <w:lang w:val="en-GB"/>
                  </w:rPr>
                  <m:t>x</m:t>
                </m:r>
              </m:e>
              <m:sub>
                <m:r>
                  <w:rPr>
                    <w:rFonts w:ascii="Cambria Math" w:hAnsi="Cambria Math" w:cs="Times New Roman"/>
                    <w:kern w:val="0"/>
                    <w:lang w:val="en-GB"/>
                  </w:rPr>
                  <m:t>i,t</m:t>
                </m:r>
              </m:sub>
              <m:sup>
                <m:r>
                  <w:rPr>
                    <w:rFonts w:ascii="Cambria Math" w:hAnsi="Cambria Math" w:cs="Times New Roman"/>
                    <w:kern w:val="0"/>
                    <w:lang w:val="en-GB"/>
                  </w:rPr>
                  <m:t>z</m:t>
                </m:r>
              </m:sup>
            </m:sSubSup>
          </m:e>
        </m:nary>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φ</m:t>
            </m:r>
          </m:e>
          <m:sub>
            <m:r>
              <w:rPr>
                <w:rFonts w:ascii="Cambria Math" w:hAnsi="Cambria Math" w:cs="Times New Roman"/>
                <w:kern w:val="0"/>
                <w:lang w:val="en-GB"/>
              </w:rPr>
              <m:t>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i,t</m:t>
            </m:r>
          </m:sub>
        </m:sSub>
      </m:oMath>
      <w:r w:rsidRPr="00765279">
        <w:rPr>
          <w:rFonts w:ascii="Times New Roman" w:eastAsiaTheme="minorEastAsia" w:hAnsi="Times New Roman" w:cs="Times New Roman"/>
          <w:kern w:val="0"/>
          <w:lang w:val="en-GB"/>
        </w:rPr>
        <w:t xml:space="preserve">                                                        3)</w:t>
      </w:r>
    </w:p>
    <w:p w14:paraId="4D64E418" w14:textId="35C502D1" w:rsidR="00E94301" w:rsidRDefault="00000000" w:rsidP="00804F9D">
      <w:pPr>
        <w:autoSpaceDE w:val="0"/>
        <w:autoSpaceDN w:val="0"/>
        <w:adjustRightInd w:val="0"/>
        <w:spacing w:before="120" w:line="276" w:lineRule="auto"/>
        <w:ind w:left="142" w:right="-1"/>
        <w:jc w:val="both"/>
        <w:rPr>
          <w:rFonts w:ascii="Times New Roman" w:hAnsi="Times New Roman" w:cs="Times New Roman"/>
          <w:kern w:val="0"/>
          <w:lang w:val="en-GB"/>
        </w:rPr>
      </w:pPr>
      <w:r w:rsidRPr="00765279">
        <w:rPr>
          <w:rFonts w:ascii="Times New Roman" w:hAnsi="Times New Roman" w:cs="Times New Roman"/>
          <w:kern w:val="0"/>
          <w:lang w:val="en-GB"/>
        </w:rPr>
        <w:t xml:space="preserve">The SAR model captures spillover effects such as external effects or cross-country interactions.  Country </w:t>
      </w:r>
      <w:proofErr w:type="spellStart"/>
      <w:r w:rsidRPr="00765279">
        <w:rPr>
          <w:rFonts w:ascii="Times New Roman" w:hAnsi="Times New Roman" w:cs="Times New Roman"/>
          <w:i/>
          <w:iCs/>
          <w:kern w:val="0"/>
          <w:lang w:val="en-GB"/>
        </w:rPr>
        <w:t>i</w:t>
      </w:r>
      <w:proofErr w:type="spellEnd"/>
      <w:r w:rsidRPr="00765279">
        <w:rPr>
          <w:rFonts w:ascii="Times New Roman" w:hAnsi="Times New Roman" w:cs="Times New Roman"/>
          <w:kern w:val="0"/>
          <w:lang w:val="en-GB"/>
        </w:rPr>
        <w:t xml:space="preserve"> </w:t>
      </w:r>
      <w:r w:rsidRPr="00765279">
        <w:rPr>
          <w:rFonts w:ascii="Times New Roman" w:eastAsia="Aptos" w:hAnsi="Times New Roman" w:cs="Times New Roman"/>
          <w:kern w:val="0"/>
          <w:lang w:val="en-GB"/>
        </w:rPr>
        <w:t>’s</w:t>
      </w:r>
      <w:r w:rsidR="00862FEB" w:rsidRPr="00765279">
        <w:rPr>
          <w:rFonts w:ascii="Times New Roman" w:eastAsia="Aptos" w:hAnsi="Times New Roman" w:cs="Times New Roman"/>
          <w:kern w:val="0"/>
          <w:lang w:val="en-GB"/>
        </w:rPr>
        <w:t xml:space="preserve"> </w:t>
      </w:r>
      <w:r w:rsidRPr="00765279">
        <w:rPr>
          <w:rFonts w:ascii="Times New Roman" w:eastAsia="Aptos" w:hAnsi="Times New Roman" w:cs="Times New Roman"/>
          <w:kern w:val="0"/>
          <w:lang w:val="en-GB"/>
        </w:rPr>
        <w:t xml:space="preserve">dependent variable depends on that of its </w:t>
      </w:r>
      <w:r w:rsidR="002F1B6C" w:rsidRPr="00765279">
        <w:rPr>
          <w:rFonts w:ascii="Times New Roman" w:eastAsia="Aptos" w:hAnsi="Times New Roman" w:cs="Times New Roman"/>
          <w:kern w:val="0"/>
          <w:lang w:val="en-GB"/>
        </w:rPr>
        <w:t>neighbo</w:t>
      </w:r>
      <w:r w:rsidR="002F1B6C" w:rsidRPr="00765279">
        <w:rPr>
          <w:rFonts w:ascii="Times New Roman" w:hAnsi="Times New Roman" w:cs="Times New Roman"/>
          <w:kern w:val="0"/>
          <w:lang w:val="en-GB"/>
        </w:rPr>
        <w:t>urs</w:t>
      </w:r>
      <w:r w:rsidRPr="00765279">
        <w:rPr>
          <w:rFonts w:ascii="Times New Roman" w:eastAsia="Aptos" w:hAnsi="Times New Roman" w:cs="Times New Roman"/>
          <w:kern w:val="0"/>
          <w:lang w:val="en-GB"/>
        </w:rPr>
        <w:t xml:space="preserve">, and these effects are measured by the coefficient λ. </w:t>
      </w:r>
      <w:r w:rsidRPr="00765279">
        <w:rPr>
          <w:rFonts w:ascii="Times New Roman" w:hAnsi="Times New Roman" w:cs="Times New Roman"/>
          <w:kern w:val="0"/>
          <w:lang w:val="en-GB"/>
        </w:rPr>
        <w:t>In this way</w:t>
      </w:r>
      <w:r w:rsidRPr="00765279">
        <w:rPr>
          <w:rFonts w:ascii="Times New Roman" w:eastAsia="Aptos" w:hAnsi="Times New Roman" w:cs="Times New Roman"/>
          <w:kern w:val="0"/>
          <w:lang w:val="en-GB"/>
        </w:rPr>
        <w:t xml:space="preserve">, we capture the potential impact that </w:t>
      </w:r>
      <w:r w:rsidRPr="00765279">
        <w:rPr>
          <w:rFonts w:ascii="Times New Roman" w:hAnsi="Times New Roman" w:cs="Times New Roman"/>
          <w:kern w:val="0"/>
          <w:lang w:val="en-GB"/>
        </w:rPr>
        <w:t xml:space="preserve">TBT in one country may have on the TBT of other countries. </w:t>
      </w:r>
      <w:r w:rsidR="002B0AB4" w:rsidRPr="00765279">
        <w:rPr>
          <w:rFonts w:ascii="Times New Roman" w:hAnsi="Times New Roman" w:cs="Times New Roman"/>
          <w:kern w:val="0"/>
          <w:lang w:val="en-GB"/>
        </w:rPr>
        <w:t>As mentioned in the introduction, the intuition is that governments could prefer to harmonize their domestic regulation</w:t>
      </w:r>
      <w:r w:rsidR="002B0AB4" w:rsidRPr="00765279">
        <w:rPr>
          <w:rFonts w:ascii="Times New Roman" w:eastAsia="Aptos" w:hAnsi="Times New Roman" w:cs="Times New Roman"/>
          <w:kern w:val="0"/>
          <w:lang w:val="en-GB"/>
        </w:rPr>
        <w:t xml:space="preserve">s with those of their trading partners, aiming to make their own firms more competitive in foreign markets. This voluntary regulatory convergence is likely to be stronger </w:t>
      </w:r>
      <w:r w:rsidR="002B0AB4" w:rsidRPr="00765279">
        <w:rPr>
          <w:rFonts w:ascii="Times New Roman" w:hAnsi="Times New Roman" w:cs="Times New Roman"/>
          <w:kern w:val="0"/>
          <w:lang w:val="en-GB"/>
        </w:rPr>
        <w:t xml:space="preserve">as more countries have bilateral environmental commitments. Hence, in this context, we do not use the classical spatial matrix, rather, we use </w:t>
      </w:r>
      <w:r w:rsidR="002B0AB4" w:rsidRPr="00765279">
        <w:rPr>
          <w:rFonts w:ascii="Times New Roman" w:hAnsi="Times New Roman" w:cs="Times New Roman"/>
          <w:lang w:val="en-GB"/>
        </w:rPr>
        <w:t>a “</w:t>
      </w:r>
      <w:r w:rsidR="002B0AB4" w:rsidRPr="00765279">
        <w:rPr>
          <w:rFonts w:ascii="Times New Roman" w:hAnsi="Times New Roman" w:cs="Times New Roman"/>
          <w:kern w:val="0"/>
          <w:lang w:val="en-GB"/>
        </w:rPr>
        <w:t xml:space="preserve">proximity” matrix between countries in terms of </w:t>
      </w:r>
      <w:proofErr w:type="spellStart"/>
      <w:r w:rsidR="002B0AB4" w:rsidRPr="00765279">
        <w:rPr>
          <w:rFonts w:ascii="Times New Roman" w:hAnsi="Times New Roman" w:cs="Times New Roman"/>
          <w:i/>
          <w:iCs/>
          <w:kern w:val="0"/>
          <w:lang w:val="en-GB"/>
        </w:rPr>
        <w:t>envRTA</w:t>
      </w:r>
      <w:proofErr w:type="spellEnd"/>
      <w:r w:rsidR="002B0AB4" w:rsidRPr="00765279">
        <w:rPr>
          <w:rFonts w:ascii="Times New Roman" w:hAnsi="Times New Roman" w:cs="Times New Roman"/>
          <w:kern w:val="0"/>
          <w:lang w:val="en-GB"/>
        </w:rPr>
        <w:t xml:space="preserve"> relationship. Our matrix has the same structure as a spatial matrix (</w:t>
      </w:r>
      <w:r w:rsidR="002B0AB4" w:rsidRPr="00765279">
        <w:rPr>
          <w:rFonts w:ascii="Times New Roman" w:eastAsia="Aptos" w:hAnsi="Times New Roman" w:cs="Times New Roman"/>
          <w:kern w:val="0"/>
          <w:lang w:val="en-GB"/>
        </w:rPr>
        <w:t>main diagonal</w:t>
      </w:r>
      <w:r w:rsidR="002B0AB4" w:rsidRPr="00765279">
        <w:rPr>
          <w:rFonts w:ascii="Times New Roman" w:hAnsi="Times New Roman" w:cs="Times New Roman"/>
          <w:kern w:val="0"/>
          <w:lang w:val="en-GB"/>
        </w:rPr>
        <w:t xml:space="preserve"> all null and non-diagonal values indicating the proximity between </w:t>
      </w:r>
      <w:proofErr w:type="spellStart"/>
      <w:r w:rsidR="002B0AB4" w:rsidRPr="00765279">
        <w:rPr>
          <w:rFonts w:ascii="Times New Roman" w:hAnsi="Times New Roman" w:cs="Times New Roman"/>
          <w:i/>
          <w:iCs/>
          <w:kern w:val="0"/>
          <w:lang w:val="en-GB"/>
        </w:rPr>
        <w:t>ij</w:t>
      </w:r>
      <w:proofErr w:type="spellEnd"/>
      <w:r w:rsidR="002B0AB4" w:rsidRPr="00765279">
        <w:rPr>
          <w:rFonts w:ascii="Times New Roman" w:hAnsi="Times New Roman" w:cs="Times New Roman"/>
          <w:kern w:val="0"/>
          <w:lang w:val="en-GB"/>
        </w:rPr>
        <w:t xml:space="preserve"> countries).</w:t>
      </w:r>
      <w:r w:rsidR="002B0AB4" w:rsidRPr="00765279">
        <w:rPr>
          <w:rFonts w:ascii="Times New Roman" w:hAnsi="Times New Roman" w:cs="Times New Roman"/>
          <w:lang w:val="en-GB"/>
        </w:rPr>
        <w:t xml:space="preserve"> </w:t>
      </w:r>
      <w:r w:rsidR="002B0AB4" w:rsidRPr="00765279">
        <w:rPr>
          <w:rFonts w:ascii="Times New Roman" w:hAnsi="Times New Roman" w:cs="Times New Roman"/>
          <w:kern w:val="0"/>
          <w:lang w:val="en-GB"/>
        </w:rPr>
        <w:t xml:space="preserve">For each </w:t>
      </w:r>
      <w:proofErr w:type="spellStart"/>
      <w:r w:rsidR="002B0AB4" w:rsidRPr="00765279">
        <w:rPr>
          <w:rFonts w:ascii="Times New Roman" w:hAnsi="Times New Roman" w:cs="Times New Roman"/>
          <w:i/>
          <w:iCs/>
          <w:kern w:val="0"/>
          <w:lang w:val="en-GB"/>
        </w:rPr>
        <w:t>i</w:t>
      </w:r>
      <w:proofErr w:type="spellEnd"/>
      <w:r w:rsidR="002B0AB4" w:rsidRPr="00765279">
        <w:rPr>
          <w:rFonts w:ascii="Times New Roman" w:hAnsi="Times New Roman" w:cs="Times New Roman"/>
          <w:i/>
          <w:iCs/>
          <w:kern w:val="0"/>
          <w:lang w:val="en-GB"/>
        </w:rPr>
        <w:t>-</w:t>
      </w:r>
      <w:r w:rsidR="002B0AB4" w:rsidRPr="00765279">
        <w:rPr>
          <w:rFonts w:ascii="Times New Roman" w:hAnsi="Times New Roman" w:cs="Times New Roman"/>
          <w:kern w:val="0"/>
          <w:lang w:val="en-GB"/>
        </w:rPr>
        <w:t xml:space="preserve">country, we calculated the average of </w:t>
      </w:r>
      <w:r w:rsidR="002B0AB4" w:rsidRPr="00765279">
        <w:rPr>
          <w:rFonts w:ascii="Times New Roman" w:hAnsi="Times New Roman" w:cs="Times New Roman"/>
          <w:i/>
          <w:iCs/>
          <w:kern w:val="0"/>
          <w:lang w:val="en-GB"/>
        </w:rPr>
        <w:t>env-RTA</w:t>
      </w:r>
      <w:r w:rsidR="002B0AB4" w:rsidRPr="00765279">
        <w:rPr>
          <w:rFonts w:ascii="Times New Roman" w:hAnsi="Times New Roman" w:cs="Times New Roman"/>
          <w:kern w:val="0"/>
          <w:lang w:val="en-GB"/>
        </w:rPr>
        <w:t xml:space="preserve"> with each </w:t>
      </w:r>
      <w:r w:rsidR="002B0AB4" w:rsidRPr="00765279">
        <w:rPr>
          <w:rFonts w:ascii="Times New Roman" w:hAnsi="Times New Roman" w:cs="Times New Roman"/>
          <w:i/>
          <w:iCs/>
          <w:kern w:val="0"/>
          <w:lang w:val="en-GB"/>
        </w:rPr>
        <w:t>j</w:t>
      </w:r>
      <w:r w:rsidR="002B0AB4" w:rsidRPr="00765279">
        <w:rPr>
          <w:rFonts w:ascii="Times New Roman" w:hAnsi="Times New Roman" w:cs="Times New Roman"/>
          <w:kern w:val="0"/>
          <w:lang w:val="en-GB"/>
        </w:rPr>
        <w:t xml:space="preserve">-country in from 1995 to 2017 timespan. They represent the </w:t>
      </w:r>
      <w:proofErr w:type="spellStart"/>
      <w:r w:rsidR="002B0AB4" w:rsidRPr="00765279">
        <w:rPr>
          <w:rFonts w:ascii="Times New Roman" w:hAnsi="Times New Roman" w:cs="Times New Roman"/>
          <w:i/>
          <w:iCs/>
          <w:kern w:val="0"/>
          <w:lang w:val="en-GB"/>
        </w:rPr>
        <w:t>w</w:t>
      </w:r>
      <w:r w:rsidR="002B0AB4" w:rsidRPr="00765279">
        <w:rPr>
          <w:rFonts w:ascii="Times New Roman" w:hAnsi="Times New Roman" w:cs="Times New Roman"/>
          <w:i/>
          <w:iCs/>
          <w:kern w:val="0"/>
          <w:vertAlign w:val="subscript"/>
          <w:lang w:val="en-GB"/>
        </w:rPr>
        <w:t>ij</w:t>
      </w:r>
      <w:proofErr w:type="spellEnd"/>
      <w:r w:rsidR="002B0AB4" w:rsidRPr="00765279">
        <w:rPr>
          <w:rFonts w:ascii="Times New Roman" w:hAnsi="Times New Roman" w:cs="Times New Roman"/>
          <w:kern w:val="0"/>
          <w:lang w:val="en-GB"/>
        </w:rPr>
        <w:t xml:space="preserve"> elements of the </w:t>
      </w:r>
      <w:r w:rsidR="002B0AB4" w:rsidRPr="00765279">
        <w:rPr>
          <w:rFonts w:ascii="Times New Roman" w:hAnsi="Times New Roman" w:cs="Times New Roman"/>
          <w:i/>
          <w:iCs/>
          <w:kern w:val="0"/>
          <w:lang w:val="en-GB"/>
        </w:rPr>
        <w:t>W</w:t>
      </w:r>
      <w:r w:rsidR="002B0AB4" w:rsidRPr="00765279">
        <w:rPr>
          <w:rFonts w:ascii="Times New Roman" w:hAnsi="Times New Roman" w:cs="Times New Roman"/>
          <w:kern w:val="0"/>
          <w:lang w:val="en-GB"/>
        </w:rPr>
        <w:t xml:space="preserve"> spatial matrix, that is squared (142x142) and row standardized. For example, in our “proximity matrix</w:t>
      </w:r>
      <w:r w:rsidR="002B0AB4" w:rsidRPr="00765279">
        <w:rPr>
          <w:rFonts w:ascii="Times New Roman" w:eastAsia="Aptos" w:hAnsi="Times New Roman" w:cs="Times New Roman"/>
          <w:kern w:val="0"/>
          <w:lang w:val="en-GB"/>
        </w:rPr>
        <w:t xml:space="preserve">” the </w:t>
      </w:r>
      <w:r w:rsidR="002B0AB4" w:rsidRPr="00765279">
        <w:rPr>
          <w:rFonts w:ascii="Times New Roman" w:hAnsi="Times New Roman" w:cs="Times New Roman"/>
          <w:i/>
          <w:iCs/>
          <w:kern w:val="0"/>
          <w:lang w:val="en-GB"/>
        </w:rPr>
        <w:t>w</w:t>
      </w:r>
      <w:r w:rsidR="002B0AB4" w:rsidRPr="00765279">
        <w:rPr>
          <w:rFonts w:ascii="Times New Roman" w:hAnsi="Times New Roman" w:cs="Times New Roman"/>
          <w:i/>
          <w:iCs/>
          <w:kern w:val="0"/>
          <w:vertAlign w:val="subscript"/>
          <w:lang w:val="en-GB"/>
        </w:rPr>
        <w:t>23,7</w:t>
      </w:r>
      <w:r w:rsidR="002B0AB4" w:rsidRPr="00765279">
        <w:rPr>
          <w:rFonts w:ascii="Times New Roman" w:hAnsi="Times New Roman" w:cs="Times New Roman"/>
          <w:kern w:val="0"/>
          <w:vertAlign w:val="subscript"/>
          <w:lang w:val="en-GB"/>
        </w:rPr>
        <w:t xml:space="preserve"> </w:t>
      </w:r>
      <w:r w:rsidR="002B0AB4" w:rsidRPr="00765279">
        <w:rPr>
          <w:rFonts w:ascii="Times New Roman" w:hAnsi="Times New Roman" w:cs="Times New Roman"/>
          <w:kern w:val="0"/>
          <w:lang w:val="en-GB"/>
        </w:rPr>
        <w:t xml:space="preserve">element of </w:t>
      </w:r>
      <w:r w:rsidR="002B0AB4" w:rsidRPr="00765279">
        <w:rPr>
          <w:rFonts w:ascii="Times New Roman" w:hAnsi="Times New Roman" w:cs="Times New Roman"/>
          <w:i/>
          <w:iCs/>
          <w:kern w:val="0"/>
          <w:lang w:val="en-GB"/>
        </w:rPr>
        <w:t>W</w:t>
      </w:r>
      <w:r w:rsidR="002B0AB4" w:rsidRPr="00765279">
        <w:rPr>
          <w:rFonts w:ascii="Times New Roman" w:hAnsi="Times New Roman" w:cs="Times New Roman"/>
          <w:kern w:val="0"/>
          <w:lang w:val="en-GB"/>
        </w:rPr>
        <w:t xml:space="preserve"> measures the proximity between Canada and Australia, and it is equal to 0.0213. That is: 2.13% of Canada’s </w:t>
      </w:r>
      <w:r w:rsidR="002B0AB4" w:rsidRPr="00765279">
        <w:rPr>
          <w:rFonts w:ascii="Times New Roman" w:hAnsi="Times New Roman" w:cs="Times New Roman"/>
          <w:i/>
          <w:iCs/>
          <w:kern w:val="0"/>
          <w:lang w:val="en-GB"/>
        </w:rPr>
        <w:t>env-RTA</w:t>
      </w:r>
      <w:r w:rsidR="002B0AB4" w:rsidRPr="00765279">
        <w:rPr>
          <w:rFonts w:ascii="Times New Roman" w:hAnsi="Times New Roman" w:cs="Times New Roman"/>
          <w:kern w:val="0"/>
          <w:lang w:val="en-GB"/>
        </w:rPr>
        <w:t xml:space="preserve"> are with Australia. The </w:t>
      </w:r>
      <w:r w:rsidR="002B0AB4" w:rsidRPr="00765279">
        <w:rPr>
          <w:rFonts w:ascii="Times New Roman" w:hAnsi="Times New Roman" w:cs="Times New Roman"/>
          <w:i/>
          <w:iCs/>
          <w:kern w:val="0"/>
          <w:lang w:val="en-GB"/>
        </w:rPr>
        <w:t>w</w:t>
      </w:r>
      <w:r w:rsidR="002B0AB4" w:rsidRPr="00765279">
        <w:rPr>
          <w:rFonts w:ascii="Times New Roman" w:hAnsi="Times New Roman" w:cs="Times New Roman"/>
          <w:i/>
          <w:iCs/>
          <w:kern w:val="0"/>
          <w:vertAlign w:val="subscript"/>
          <w:lang w:val="en-GB"/>
        </w:rPr>
        <w:t>23,25</w:t>
      </w:r>
      <w:r w:rsidR="002B0AB4" w:rsidRPr="00765279">
        <w:rPr>
          <w:rFonts w:ascii="Times New Roman" w:hAnsi="Times New Roman" w:cs="Times New Roman"/>
          <w:kern w:val="0"/>
          <w:vertAlign w:val="subscript"/>
          <w:lang w:val="en-GB"/>
        </w:rPr>
        <w:t xml:space="preserve"> </w:t>
      </w:r>
      <w:r w:rsidR="002B0AB4" w:rsidRPr="00765279">
        <w:rPr>
          <w:rFonts w:ascii="Times New Roman" w:hAnsi="Times New Roman" w:cs="Times New Roman"/>
          <w:kern w:val="0"/>
          <w:lang w:val="en-GB"/>
        </w:rPr>
        <w:t xml:space="preserve">element of </w:t>
      </w:r>
      <w:r w:rsidR="002B0AB4" w:rsidRPr="00765279">
        <w:rPr>
          <w:rFonts w:ascii="Times New Roman" w:hAnsi="Times New Roman" w:cs="Times New Roman"/>
          <w:i/>
          <w:iCs/>
          <w:kern w:val="0"/>
          <w:lang w:val="en-GB"/>
        </w:rPr>
        <w:t>W</w:t>
      </w:r>
      <w:r w:rsidR="002B0AB4" w:rsidRPr="00765279">
        <w:rPr>
          <w:rFonts w:ascii="Times New Roman" w:hAnsi="Times New Roman" w:cs="Times New Roman"/>
          <w:kern w:val="0"/>
          <w:lang w:val="en-GB"/>
        </w:rPr>
        <w:t xml:space="preserve"> measures the </w:t>
      </w:r>
      <w:r w:rsidR="002B0AB4" w:rsidRPr="00765279">
        <w:rPr>
          <w:rFonts w:ascii="Times New Roman" w:hAnsi="Times New Roman" w:cs="Times New Roman"/>
          <w:i/>
          <w:iCs/>
          <w:kern w:val="0"/>
          <w:lang w:val="en-GB"/>
        </w:rPr>
        <w:t>env-RTA</w:t>
      </w:r>
      <w:r w:rsidR="002B0AB4" w:rsidRPr="00765279">
        <w:rPr>
          <w:rFonts w:ascii="Times New Roman" w:hAnsi="Times New Roman" w:cs="Times New Roman"/>
          <w:kern w:val="0"/>
          <w:lang w:val="en-GB"/>
        </w:rPr>
        <w:t xml:space="preserve"> proximity between Canada and Chile, and it is equal to 0.255. That is: 25.55% of Canada’s </w:t>
      </w:r>
      <w:r w:rsidR="002B0AB4" w:rsidRPr="00765279">
        <w:rPr>
          <w:rFonts w:ascii="Times New Roman" w:hAnsi="Times New Roman" w:cs="Times New Roman"/>
          <w:i/>
          <w:iCs/>
          <w:kern w:val="0"/>
          <w:lang w:val="en-GB"/>
        </w:rPr>
        <w:t>env-RTA</w:t>
      </w:r>
      <w:r w:rsidR="002B0AB4" w:rsidRPr="00765279">
        <w:rPr>
          <w:rFonts w:ascii="Times New Roman" w:hAnsi="Times New Roman" w:cs="Times New Roman"/>
          <w:kern w:val="0"/>
          <w:lang w:val="en-GB"/>
        </w:rPr>
        <w:t xml:space="preserve"> are with Chile. Our </w:t>
      </w:r>
      <w:r w:rsidR="002B0AB4" w:rsidRPr="00765279">
        <w:rPr>
          <w:rFonts w:ascii="Times New Roman" w:hAnsi="Times New Roman" w:cs="Times New Roman"/>
          <w:i/>
          <w:iCs/>
          <w:kern w:val="0"/>
          <w:lang w:val="en-GB"/>
        </w:rPr>
        <w:t>W</w:t>
      </w:r>
      <w:r w:rsidR="002B0AB4" w:rsidRPr="00765279">
        <w:rPr>
          <w:rFonts w:ascii="Times New Roman" w:hAnsi="Times New Roman" w:cs="Times New Roman"/>
          <w:kern w:val="0"/>
          <w:lang w:val="en-GB"/>
        </w:rPr>
        <w:t xml:space="preserve"> proximity matrix considers Chile far closer to Canada and, therefore, in model 3, Chile's TBTs will be weighted more than those of Australia in explaining Canadian TBT. With a “classical” spatial matrix, </w:t>
      </w:r>
      <w:r w:rsidR="002B0AB4" w:rsidRPr="00765279">
        <w:rPr>
          <w:rFonts w:ascii="Times New Roman" w:eastAsia="Aptos" w:hAnsi="Times New Roman" w:cs="Times New Roman"/>
          <w:kern w:val="0"/>
          <w:lang w:val="en-GB"/>
        </w:rPr>
        <w:t>neighbo</w:t>
      </w:r>
      <w:r w:rsidR="002B0AB4" w:rsidRPr="00765279">
        <w:rPr>
          <w:rFonts w:ascii="Times New Roman" w:hAnsi="Times New Roman" w:cs="Times New Roman"/>
          <w:kern w:val="0"/>
          <w:lang w:val="en-GB"/>
        </w:rPr>
        <w:t>urs have all the same weight.</w:t>
      </w:r>
    </w:p>
    <w:p w14:paraId="4D29883E" w14:textId="2A920413" w:rsidR="009235E6" w:rsidRDefault="00BE7859" w:rsidP="00E94301">
      <w:pPr>
        <w:autoSpaceDE w:val="0"/>
        <w:autoSpaceDN w:val="0"/>
        <w:adjustRightInd w:val="0"/>
        <w:spacing w:before="100" w:beforeAutospacing="1" w:line="276" w:lineRule="auto"/>
        <w:ind w:right="-1" w:firstLine="142"/>
        <w:jc w:val="both"/>
        <w:rPr>
          <w:rFonts w:ascii="Times New Roman" w:hAnsi="Times New Roman" w:cs="Times New Roman"/>
        </w:rPr>
      </w:pPr>
      <w:proofErr w:type="gramStart"/>
      <w:r w:rsidRPr="00054F3F">
        <w:rPr>
          <w:rFonts w:ascii="Times New Roman" w:hAnsi="Times New Roman" w:cs="Times New Roman"/>
        </w:rPr>
        <w:t>In order to</w:t>
      </w:r>
      <w:proofErr w:type="gramEnd"/>
      <w:r w:rsidRPr="00054F3F">
        <w:rPr>
          <w:rFonts w:ascii="Times New Roman" w:hAnsi="Times New Roman" w:cs="Times New Roman"/>
        </w:rPr>
        <w:t xml:space="preserve"> account for both the spatial lag and the dynamic dimension of </w:t>
      </w:r>
      <w:r w:rsidR="003749EE">
        <w:rPr>
          <w:rFonts w:ascii="Times New Roman" w:hAnsi="Times New Roman" w:cs="Times New Roman"/>
        </w:rPr>
        <w:t>TBT</w:t>
      </w:r>
      <w:r w:rsidRPr="00054F3F">
        <w:rPr>
          <w:rFonts w:ascii="Times New Roman" w:hAnsi="Times New Roman" w:cs="Times New Roman"/>
        </w:rPr>
        <w:t xml:space="preserve"> discussed in the previous sections, we extend our spatial analysis by incorporating the lagged dependent variable and the lagged spatial term into the model </w:t>
      </w:r>
      <w:r w:rsidR="002B0AB4">
        <w:rPr>
          <w:rFonts w:ascii="Times New Roman" w:hAnsi="Times New Roman" w:cs="Times New Roman"/>
        </w:rPr>
        <w:t>(</w:t>
      </w:r>
      <w:r w:rsidRPr="00054F3F">
        <w:rPr>
          <w:rFonts w:ascii="Times New Roman" w:hAnsi="Times New Roman" w:cs="Times New Roman"/>
        </w:rPr>
        <w:t xml:space="preserve">3). </w:t>
      </w:r>
      <w:r w:rsidR="009235E6" w:rsidRPr="003D325D">
        <w:rPr>
          <w:rFonts w:ascii="Times New Roman" w:hAnsi="Times New Roman" w:cs="Times New Roman"/>
        </w:rPr>
        <w:t xml:space="preserve">This allows us to simultaneously capture the temporal persistence of TBT measures and their spatial interdependence across countries, providing a more comprehensive picture of the diffusion mechanisms at play. </w:t>
      </w:r>
    </w:p>
    <w:p w14:paraId="0B222B07" w14:textId="6B3AE329" w:rsidR="00E94301" w:rsidRPr="002B0AB4" w:rsidRDefault="00BE7859" w:rsidP="00E94301">
      <w:pPr>
        <w:autoSpaceDE w:val="0"/>
        <w:autoSpaceDN w:val="0"/>
        <w:adjustRightInd w:val="0"/>
        <w:spacing w:before="100" w:beforeAutospacing="1" w:line="276" w:lineRule="auto"/>
        <w:ind w:right="-1" w:firstLine="142"/>
        <w:jc w:val="both"/>
        <w:rPr>
          <w:rFonts w:ascii="Times New Roman" w:hAnsi="Times New Roman" w:cs="Times New Roman"/>
          <w:kern w:val="0"/>
        </w:rPr>
      </w:pPr>
      <w:r w:rsidRPr="003749EE">
        <w:rPr>
          <w:rFonts w:ascii="Times New Roman" w:hAnsi="Times New Roman" w:cs="Times New Roman"/>
        </w:rPr>
        <w:t xml:space="preserve">Specifically, we first estimate a dynamic spatial lag model that includes the lagged dependent variable alongside the spatial lag term. </w:t>
      </w:r>
      <w:r w:rsidR="00E94301" w:rsidRPr="002B0AB4">
        <w:rPr>
          <w:rFonts w:ascii="Times New Roman" w:hAnsi="Times New Roman" w:cs="Times New Roman"/>
          <w:kern w:val="0"/>
        </w:rPr>
        <w:t>The estimated model takes the following form:</w:t>
      </w:r>
    </w:p>
    <w:p w14:paraId="38D96A1C" w14:textId="2E321C40" w:rsidR="00E94301" w:rsidRPr="0066297F" w:rsidRDefault="00000000" w:rsidP="00E94301">
      <w:pPr>
        <w:autoSpaceDE w:val="0"/>
        <w:autoSpaceDN w:val="0"/>
        <w:adjustRightInd w:val="0"/>
        <w:spacing w:before="100" w:beforeAutospacing="1" w:line="276" w:lineRule="auto"/>
        <w:ind w:right="-1" w:firstLine="142"/>
        <w:jc w:val="both"/>
        <w:rPr>
          <w:rFonts w:ascii="Times New Roman" w:eastAsiaTheme="minorEastAsia" w:hAnsi="Times New Roman" w:cs="Times New Roman"/>
          <w:kern w:val="0"/>
          <w:lang w:val="en-GB"/>
        </w:rPr>
      </w:pPr>
      <m:oMathPara>
        <m:oMath>
          <m:sSub>
            <m:sSubPr>
              <m:ctrlPr>
                <w:rPr>
                  <w:rFonts w:ascii="Cambria Math" w:hAnsi="Cambria Math" w:cs="Times New Roman"/>
                  <w:i/>
                  <w:kern w:val="0"/>
                  <w:lang w:val="en-GB"/>
                </w:rPr>
              </m:ctrlPr>
            </m:sSubPr>
            <m:e>
              <m:r>
                <w:rPr>
                  <w:rFonts w:ascii="Cambria Math" w:hAnsi="Cambria Math" w:cs="Times New Roman"/>
                  <w:kern w:val="0"/>
                  <w:lang w:val="en-GB"/>
                </w:rPr>
                <m:t>en</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TBT</m:t>
                  </m:r>
                </m:sub>
              </m:sSub>
            </m:e>
            <m:sub>
              <m:r>
                <w:rPr>
                  <w:rFonts w:ascii="Cambria Math" w:hAnsi="Cambria Math" w:cs="Times New Roman"/>
                  <w:kern w:val="0"/>
                  <w:lang w:val="en-GB"/>
                </w:rPr>
                <m:t>i,t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α</m:t>
              </m:r>
            </m:e>
            <m:sub>
              <m:r>
                <w:rPr>
                  <w:rFonts w:ascii="Cambria Math" w:hAnsi="Cambria Math" w:cs="Times New Roman"/>
                  <w:kern w:val="0"/>
                  <w:lang w:val="en-GB"/>
                </w:rPr>
                <m:t>i</m:t>
              </m:r>
            </m:sub>
          </m:sSub>
          <m:r>
            <w:rPr>
              <w:rFonts w:ascii="Cambria Math" w:hAnsi="Cambria Math" w:cs="Times New Roman"/>
              <w:kern w:val="0"/>
              <w:lang w:val="en-GB"/>
            </w:rPr>
            <m:t>+δ</m:t>
          </m:r>
          <m:sSub>
            <m:sSubPr>
              <m:ctrlPr>
                <w:rPr>
                  <w:rFonts w:ascii="Cambria Math" w:hAnsi="Cambria Math" w:cs="Times New Roman"/>
                  <w:i/>
                  <w:kern w:val="0"/>
                  <w:lang w:val="en-GB"/>
                </w:rPr>
              </m:ctrlPr>
            </m:sSubPr>
            <m:e>
              <m:r>
                <w:rPr>
                  <w:rFonts w:ascii="Cambria Math" w:hAnsi="Cambria Math" w:cs="Times New Roman"/>
                  <w:kern w:val="0"/>
                  <w:lang w:val="en-GB"/>
                </w:rPr>
                <m:t>en</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TBT</m:t>
                  </m:r>
                </m:sub>
              </m:sSub>
            </m:e>
            <m:sub>
              <m:r>
                <w:rPr>
                  <w:rFonts w:ascii="Cambria Math" w:hAnsi="Cambria Math" w:cs="Times New Roman"/>
                  <w:kern w:val="0"/>
                  <w:lang w:val="en-GB"/>
                </w:rPr>
                <m:t>j,t-1</m:t>
              </m:r>
            </m:sub>
          </m:sSub>
          <m:r>
            <w:rPr>
              <w:rFonts w:ascii="Cambria Math" w:hAnsi="Cambria Math" w:cs="Times New Roman"/>
              <w:kern w:val="0"/>
              <w:lang w:val="en-GB"/>
            </w:rPr>
            <m:t>+λ</m:t>
          </m:r>
          <m:nary>
            <m:naryPr>
              <m:chr m:val="∑"/>
              <m:limLoc m:val="undOvr"/>
              <m:ctrlPr>
                <w:rPr>
                  <w:rFonts w:ascii="Cambria Math" w:hAnsi="Cambria Math" w:cs="Times New Roman"/>
                  <w:i/>
                  <w:kern w:val="0"/>
                  <w:lang w:val="en-GB"/>
                </w:rPr>
              </m:ctrlPr>
            </m:naryPr>
            <m:sub>
              <m:r>
                <w:rPr>
                  <w:rFonts w:ascii="Cambria Math" w:hAnsi="Cambria Math" w:cs="Times New Roman"/>
                  <w:kern w:val="0"/>
                  <w:lang w:val="en-GB"/>
                </w:rPr>
                <m:t>i≠j</m:t>
              </m:r>
            </m:sub>
            <m:sup/>
            <m:e>
              <m:sSub>
                <m:sSubPr>
                  <m:ctrlPr>
                    <w:rPr>
                      <w:rFonts w:ascii="Cambria Math" w:hAnsi="Cambria Math" w:cs="Times New Roman"/>
                      <w:i/>
                      <w:kern w:val="0"/>
                      <w:lang w:val="en-GB"/>
                    </w:rPr>
                  </m:ctrlPr>
                </m:sSubPr>
                <m:e>
                  <m:r>
                    <w:rPr>
                      <w:rFonts w:ascii="Cambria Math" w:hAnsi="Cambria Math" w:cs="Times New Roman"/>
                      <w:kern w:val="0"/>
                      <w:lang w:val="en-GB"/>
                    </w:rPr>
                    <m:t>w</m:t>
                  </m:r>
                </m:e>
                <m:sub>
                  <m:r>
                    <w:rPr>
                      <w:rFonts w:ascii="Cambria Math" w:hAnsi="Cambria Math" w:cs="Times New Roman"/>
                      <w:kern w:val="0"/>
                      <w:lang w:val="en-GB"/>
                    </w:rPr>
                    <m:t>.j,t</m:t>
                  </m:r>
                </m:sub>
              </m:sSub>
            </m:e>
          </m:nary>
          <m:sSub>
            <m:sSubPr>
              <m:ctrlPr>
                <w:rPr>
                  <w:rFonts w:ascii="Cambria Math" w:hAnsi="Cambria Math" w:cs="Times New Roman"/>
                  <w:i/>
                  <w:kern w:val="0"/>
                  <w:lang w:val="en-GB"/>
                </w:rPr>
              </m:ctrlPr>
            </m:sSubPr>
            <m:e>
              <m:r>
                <w:rPr>
                  <w:rFonts w:ascii="Cambria Math" w:hAnsi="Cambria Math" w:cs="Times New Roman"/>
                  <w:kern w:val="0"/>
                  <w:lang w:val="en-GB"/>
                </w:rPr>
                <m:t>en</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TBT</m:t>
                  </m:r>
                </m:sub>
              </m:sSub>
            </m:e>
            <m:sub>
              <m:r>
                <w:rPr>
                  <w:rFonts w:ascii="Cambria Math" w:hAnsi="Cambria Math" w:cs="Times New Roman"/>
                  <w:kern w:val="0"/>
                  <w:lang w:val="en-GB"/>
                </w:rPr>
                <m:t>j,t</m:t>
              </m:r>
            </m:sub>
          </m:sSub>
        </m:oMath>
      </m:oMathPara>
    </w:p>
    <w:p w14:paraId="07C8815A" w14:textId="77777777" w:rsidR="00E94301" w:rsidRPr="0066297F" w:rsidRDefault="00E94301" w:rsidP="00E94301">
      <w:pPr>
        <w:autoSpaceDE w:val="0"/>
        <w:autoSpaceDN w:val="0"/>
        <w:adjustRightInd w:val="0"/>
        <w:spacing w:before="100" w:beforeAutospacing="1" w:line="276" w:lineRule="auto"/>
        <w:ind w:right="-1" w:firstLine="142"/>
        <w:jc w:val="both"/>
        <w:rPr>
          <w:rFonts w:ascii="Times New Roman" w:hAnsi="Times New Roman" w:cs="Times New Roman"/>
          <w:kern w:val="0"/>
        </w:rPr>
      </w:pPr>
      <m:oMathPara>
        <m:oMath>
          <m:r>
            <w:rPr>
              <w:rFonts w:ascii="Cambria Math" w:hAnsi="Cambria Math" w:cs="Times New Roman"/>
              <w:kern w:val="0"/>
              <w:lang w:val="en-GB"/>
            </w:rPr>
            <m:t xml:space="preserve">                                                     +</m:t>
          </m:r>
          <m:sSub>
            <m:sSubPr>
              <m:ctrlPr>
                <w:rPr>
                  <w:rFonts w:ascii="Cambria Math" w:hAnsi="Cambria Math" w:cs="Times New Roman"/>
                  <w:i/>
                  <w:kern w:val="0"/>
                  <w:lang w:val="en-GB"/>
                </w:rPr>
              </m:ctrlPr>
            </m:sSubPr>
            <m:e>
              <m:r>
                <w:rPr>
                  <w:rFonts w:ascii="Cambria Math" w:hAnsi="Cambria Math" w:cs="Times New Roman"/>
                  <w:kern w:val="0"/>
                  <w:lang w:val="en-GB"/>
                </w:rPr>
                <m:t>β</m:t>
              </m:r>
            </m:e>
            <m:sub>
              <m:r>
                <w:rPr>
                  <w:rFonts w:ascii="Cambria Math" w:hAnsi="Cambria Math" w:cs="Times New Roman"/>
                  <w:kern w:val="0"/>
                  <w:lang w:val="en-GB"/>
                </w:rPr>
                <m:t>1</m:t>
              </m:r>
            </m:sub>
          </m:sSub>
          <m:sSub>
            <m:sSubPr>
              <m:ctrlPr>
                <w:rPr>
                  <w:rFonts w:ascii="Cambria Math" w:hAnsi="Cambria Math" w:cs="Times New Roman"/>
                  <w:i/>
                  <w:kern w:val="0"/>
                  <w:lang w:val="en-GB"/>
                </w:rPr>
              </m:ctrlPr>
            </m:sSubPr>
            <m:e>
              <m:r>
                <w:rPr>
                  <w:rFonts w:ascii="Cambria Math" w:hAnsi="Cambria Math" w:cs="Times New Roman"/>
                  <w:kern w:val="0"/>
                  <w:lang w:val="en-GB"/>
                </w:rPr>
                <m:t>en</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RTA</m:t>
                  </m:r>
                </m:sub>
              </m:sSub>
            </m:e>
            <m:sub>
              <m:r>
                <w:rPr>
                  <w:rFonts w:ascii="Cambria Math" w:hAnsi="Cambria Math" w:cs="Times New Roman"/>
                  <w:kern w:val="0"/>
                  <w:lang w:val="en-GB"/>
                </w:rPr>
                <m:t>i,t</m:t>
              </m:r>
            </m:sub>
          </m:sSub>
          <m:r>
            <w:rPr>
              <w:rFonts w:ascii="Cambria Math" w:hAnsi="Cambria Math" w:cs="Times New Roman"/>
              <w:kern w:val="0"/>
              <w:lang w:val="en-GB"/>
            </w:rPr>
            <m:t>+</m:t>
          </m:r>
          <m:nary>
            <m:naryPr>
              <m:chr m:val="∑"/>
              <m:limLoc m:val="undOvr"/>
              <m:ctrlPr>
                <w:rPr>
                  <w:rFonts w:ascii="Cambria Math" w:hAnsi="Cambria Math" w:cs="Times New Roman"/>
                  <w:i/>
                  <w:kern w:val="0"/>
                  <w:lang w:val="en-GB"/>
                </w:rPr>
              </m:ctrlPr>
            </m:naryPr>
            <m:sub>
              <m:r>
                <w:rPr>
                  <w:rFonts w:ascii="Cambria Math" w:hAnsi="Cambria Math" w:cs="Times New Roman"/>
                  <w:kern w:val="0"/>
                  <w:lang w:val="en-GB"/>
                </w:rPr>
                <m:t>z=1</m:t>
              </m:r>
            </m:sub>
            <m:sup>
              <m:r>
                <w:rPr>
                  <w:rFonts w:ascii="Cambria Math" w:hAnsi="Cambria Math" w:cs="Times New Roman"/>
                  <w:kern w:val="0"/>
                  <w:lang w:val="en-GB"/>
                </w:rPr>
                <m:t>k</m:t>
              </m:r>
            </m:sup>
            <m:e>
              <m:sSub>
                <m:sSubPr>
                  <m:ctrlPr>
                    <w:rPr>
                      <w:rFonts w:ascii="Cambria Math" w:hAnsi="Cambria Math" w:cs="Times New Roman"/>
                      <w:i/>
                      <w:kern w:val="0"/>
                      <w:lang w:val="en-GB"/>
                    </w:rPr>
                  </m:ctrlPr>
                </m:sSubPr>
                <m:e>
                  <m:r>
                    <w:rPr>
                      <w:rFonts w:ascii="Cambria Math" w:hAnsi="Cambria Math" w:cs="Times New Roman"/>
                      <w:kern w:val="0"/>
                      <w:lang w:val="en-GB"/>
                    </w:rPr>
                    <m:t>γ</m:t>
                  </m:r>
                </m:e>
                <m:sub>
                  <m:r>
                    <w:rPr>
                      <w:rFonts w:ascii="Cambria Math" w:hAnsi="Cambria Math" w:cs="Times New Roman"/>
                      <w:kern w:val="0"/>
                      <w:lang w:val="en-GB"/>
                    </w:rPr>
                    <m:t>z</m:t>
                  </m:r>
                </m:sub>
              </m:sSub>
              <m:sSubSup>
                <m:sSubSupPr>
                  <m:ctrlPr>
                    <w:rPr>
                      <w:rFonts w:ascii="Cambria Math" w:hAnsi="Cambria Math" w:cs="Times New Roman"/>
                      <w:i/>
                      <w:kern w:val="0"/>
                      <w:lang w:val="en-GB"/>
                    </w:rPr>
                  </m:ctrlPr>
                </m:sSubSupPr>
                <m:e>
                  <m:r>
                    <w:rPr>
                      <w:rFonts w:ascii="Cambria Math" w:hAnsi="Cambria Math" w:cs="Times New Roman"/>
                      <w:kern w:val="0"/>
                      <w:lang w:val="en-GB"/>
                    </w:rPr>
                    <m:t>x</m:t>
                  </m:r>
                </m:e>
                <m:sub>
                  <m:r>
                    <w:rPr>
                      <w:rFonts w:ascii="Cambria Math" w:hAnsi="Cambria Math" w:cs="Times New Roman"/>
                      <w:kern w:val="0"/>
                      <w:lang w:val="en-GB"/>
                    </w:rPr>
                    <m:t>i,t</m:t>
                  </m:r>
                </m:sub>
                <m:sup>
                  <m:r>
                    <w:rPr>
                      <w:rFonts w:ascii="Cambria Math" w:hAnsi="Cambria Math" w:cs="Times New Roman"/>
                      <w:kern w:val="0"/>
                      <w:lang w:val="en-GB"/>
                    </w:rPr>
                    <m:t>z</m:t>
                  </m:r>
                </m:sup>
              </m:sSubSup>
            </m:e>
          </m:nary>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φ</m:t>
              </m:r>
            </m:e>
            <m:sub>
              <m:r>
                <w:rPr>
                  <w:rFonts w:ascii="Cambria Math" w:hAnsi="Cambria Math" w:cs="Times New Roman"/>
                  <w:kern w:val="0"/>
                  <w:lang w:val="en-GB"/>
                </w:rPr>
                <m:t>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i,t</m:t>
              </m:r>
            </m:sub>
          </m:sSub>
          <m:r>
            <w:rPr>
              <w:rFonts w:ascii="Cambria Math" w:hAnsi="Cambria Math" w:cs="Times New Roman"/>
              <w:kern w:val="0"/>
              <w:lang w:val="en-GB"/>
            </w:rPr>
            <m:t xml:space="preserve">      3a) </m:t>
          </m:r>
        </m:oMath>
      </m:oMathPara>
    </w:p>
    <w:p w14:paraId="3217109E" w14:textId="77777777" w:rsidR="00E94301" w:rsidRDefault="00E94301" w:rsidP="00E94301">
      <w:pPr>
        <w:autoSpaceDE w:val="0"/>
        <w:autoSpaceDN w:val="0"/>
        <w:adjustRightInd w:val="0"/>
        <w:spacing w:before="100" w:beforeAutospacing="1" w:line="276" w:lineRule="auto"/>
        <w:ind w:right="-1" w:firstLine="142"/>
        <w:jc w:val="both"/>
        <w:rPr>
          <w:rFonts w:ascii="Times New Roman" w:hAnsi="Times New Roman" w:cs="Times New Roman"/>
          <w:kern w:val="0"/>
        </w:rPr>
      </w:pPr>
      <w:r>
        <w:rPr>
          <w:rFonts w:ascii="Times New Roman" w:hAnsi="Times New Roman" w:cs="Times New Roman"/>
          <w:kern w:val="0"/>
        </w:rPr>
        <w:t>where δ</w:t>
      </w:r>
      <w:r w:rsidRPr="0066297F">
        <w:rPr>
          <w:rFonts w:ascii="Times New Roman" w:hAnsi="Times New Roman" w:cs="Times New Roman"/>
          <w:kern w:val="0"/>
        </w:rPr>
        <w:t xml:space="preserve"> measures the degree of temporal persistence</w:t>
      </w:r>
      <w:r>
        <w:rPr>
          <w:rFonts w:ascii="Times New Roman" w:hAnsi="Times New Roman" w:cs="Times New Roman"/>
          <w:kern w:val="0"/>
        </w:rPr>
        <w:t>.</w:t>
      </w:r>
    </w:p>
    <w:p w14:paraId="39E55CB5" w14:textId="78F0C495" w:rsidR="00E94301" w:rsidRPr="002B0AB4" w:rsidRDefault="00BE7859" w:rsidP="00E94301">
      <w:pPr>
        <w:autoSpaceDE w:val="0"/>
        <w:autoSpaceDN w:val="0"/>
        <w:adjustRightInd w:val="0"/>
        <w:spacing w:before="100" w:beforeAutospacing="1" w:line="276" w:lineRule="auto"/>
        <w:ind w:right="-1"/>
        <w:jc w:val="both"/>
        <w:rPr>
          <w:rFonts w:ascii="Times New Roman" w:hAnsi="Times New Roman" w:cs="Times New Roman"/>
          <w:kern w:val="0"/>
        </w:rPr>
      </w:pPr>
      <w:r w:rsidRPr="007B56E0">
        <w:rPr>
          <w:rFonts w:ascii="Times New Roman" w:hAnsi="Times New Roman" w:cs="Times New Roman"/>
        </w:rPr>
        <w:lastRenderedPageBreak/>
        <w:t xml:space="preserve">Second, we extend this specification by </w:t>
      </w:r>
      <w:r w:rsidR="007B56E0">
        <w:rPr>
          <w:rFonts w:ascii="Times New Roman" w:hAnsi="Times New Roman" w:cs="Times New Roman"/>
        </w:rPr>
        <w:t>including</w:t>
      </w:r>
      <w:r w:rsidRPr="007B56E0">
        <w:rPr>
          <w:rFonts w:ascii="Times New Roman" w:hAnsi="Times New Roman" w:cs="Times New Roman"/>
        </w:rPr>
        <w:t xml:space="preserve"> the lagged spatial term on the right-hand side. This specification allows us to capture richer spatial interdependencies within the already established dynamic framework.</w:t>
      </w:r>
    </w:p>
    <w:p w14:paraId="2F226764" w14:textId="77777777" w:rsidR="00E94301" w:rsidRPr="0066297F" w:rsidRDefault="00E94301" w:rsidP="00E94301">
      <w:pPr>
        <w:autoSpaceDE w:val="0"/>
        <w:autoSpaceDN w:val="0"/>
        <w:adjustRightInd w:val="0"/>
        <w:spacing w:before="100" w:beforeAutospacing="1" w:line="276" w:lineRule="auto"/>
        <w:ind w:right="-1" w:firstLine="142"/>
        <w:jc w:val="both"/>
        <w:rPr>
          <w:rFonts w:ascii="Times New Roman" w:hAnsi="Times New Roman" w:cs="Times New Roman"/>
          <w:kern w:val="0"/>
        </w:rPr>
      </w:pPr>
      <w:r w:rsidRPr="0066297F">
        <w:rPr>
          <w:rFonts w:ascii="Times New Roman" w:hAnsi="Times New Roman" w:cs="Times New Roman"/>
          <w:kern w:val="0"/>
        </w:rPr>
        <w:t>The estimated model takes the following form</w:t>
      </w:r>
      <w:r>
        <w:rPr>
          <w:rFonts w:ascii="Times New Roman" w:hAnsi="Times New Roman" w:cs="Times New Roman"/>
          <w:kern w:val="0"/>
        </w:rPr>
        <w:t>:</w:t>
      </w:r>
    </w:p>
    <w:p w14:paraId="55E546C9" w14:textId="77777777" w:rsidR="00E94301" w:rsidRPr="0066622E" w:rsidRDefault="00000000" w:rsidP="00E94301">
      <w:pPr>
        <w:autoSpaceDE w:val="0"/>
        <w:autoSpaceDN w:val="0"/>
        <w:adjustRightInd w:val="0"/>
        <w:spacing w:before="100" w:beforeAutospacing="1" w:line="276" w:lineRule="auto"/>
        <w:ind w:right="-1" w:firstLine="142"/>
        <w:jc w:val="both"/>
        <w:rPr>
          <w:rFonts w:ascii="Times New Roman" w:eastAsiaTheme="minorEastAsia" w:hAnsi="Times New Roman" w:cs="Times New Roman"/>
          <w:kern w:val="0"/>
          <w:lang w:val="en-GB"/>
        </w:rPr>
      </w:pPr>
      <m:oMathPara>
        <m:oMath>
          <m:sSub>
            <m:sSubPr>
              <m:ctrlPr>
                <w:rPr>
                  <w:rFonts w:ascii="Cambria Math" w:hAnsi="Cambria Math" w:cs="Times New Roman"/>
                  <w:i/>
                  <w:kern w:val="0"/>
                  <w:lang w:val="en-GB"/>
                </w:rPr>
              </m:ctrlPr>
            </m:sSubPr>
            <m:e>
              <m:r>
                <w:rPr>
                  <w:rFonts w:ascii="Cambria Math" w:hAnsi="Cambria Math" w:cs="Times New Roman"/>
                  <w:kern w:val="0"/>
                  <w:lang w:val="en-GB"/>
                </w:rPr>
                <m:t>en</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TBT</m:t>
                  </m:r>
                </m:sub>
              </m:sSub>
            </m:e>
            <m:sub>
              <m:r>
                <w:rPr>
                  <w:rFonts w:ascii="Cambria Math" w:hAnsi="Cambria Math" w:cs="Times New Roman"/>
                  <w:kern w:val="0"/>
                  <w:lang w:val="en-GB"/>
                </w:rPr>
                <m:t>i,t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α</m:t>
              </m:r>
            </m:e>
            <m:sub>
              <m:r>
                <w:rPr>
                  <w:rFonts w:ascii="Cambria Math" w:hAnsi="Cambria Math" w:cs="Times New Roman"/>
                  <w:kern w:val="0"/>
                  <w:lang w:val="en-GB"/>
                </w:rPr>
                <m:t>i</m:t>
              </m:r>
            </m:sub>
          </m:sSub>
          <m:r>
            <w:rPr>
              <w:rFonts w:ascii="Cambria Math" w:hAnsi="Cambria Math" w:cs="Times New Roman"/>
              <w:kern w:val="0"/>
              <w:lang w:val="en-GB"/>
            </w:rPr>
            <m:t>+δ</m:t>
          </m:r>
          <m:sSub>
            <m:sSubPr>
              <m:ctrlPr>
                <w:rPr>
                  <w:rFonts w:ascii="Cambria Math" w:hAnsi="Cambria Math" w:cs="Times New Roman"/>
                  <w:i/>
                  <w:kern w:val="0"/>
                  <w:lang w:val="en-GB"/>
                </w:rPr>
              </m:ctrlPr>
            </m:sSubPr>
            <m:e>
              <m:r>
                <w:rPr>
                  <w:rFonts w:ascii="Cambria Math" w:hAnsi="Cambria Math" w:cs="Times New Roman"/>
                  <w:kern w:val="0"/>
                  <w:lang w:val="en-GB"/>
                </w:rPr>
                <m:t>en</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TBT</m:t>
                  </m:r>
                </m:sub>
              </m:sSub>
            </m:e>
            <m:sub>
              <m:r>
                <w:rPr>
                  <w:rFonts w:ascii="Cambria Math" w:hAnsi="Cambria Math" w:cs="Times New Roman"/>
                  <w:kern w:val="0"/>
                  <w:lang w:val="en-GB"/>
                </w:rPr>
                <m:t>j,t-1</m:t>
              </m:r>
            </m:sub>
          </m:sSub>
          <m:r>
            <w:rPr>
              <w:rFonts w:ascii="Cambria Math" w:hAnsi="Cambria Math" w:cs="Times New Roman"/>
              <w:kern w:val="0"/>
              <w:lang w:val="en-GB"/>
            </w:rPr>
            <m:t>+λ</m:t>
          </m:r>
          <m:nary>
            <m:naryPr>
              <m:chr m:val="∑"/>
              <m:limLoc m:val="undOvr"/>
              <m:ctrlPr>
                <w:rPr>
                  <w:rFonts w:ascii="Cambria Math" w:hAnsi="Cambria Math" w:cs="Times New Roman"/>
                  <w:i/>
                  <w:kern w:val="0"/>
                  <w:lang w:val="en-GB"/>
                </w:rPr>
              </m:ctrlPr>
            </m:naryPr>
            <m:sub>
              <m:r>
                <w:rPr>
                  <w:rFonts w:ascii="Cambria Math" w:hAnsi="Cambria Math" w:cs="Times New Roman"/>
                  <w:kern w:val="0"/>
                  <w:lang w:val="en-GB"/>
                </w:rPr>
                <m:t>i≠j</m:t>
              </m:r>
            </m:sub>
            <m:sup/>
            <m:e>
              <m:sSub>
                <m:sSubPr>
                  <m:ctrlPr>
                    <w:rPr>
                      <w:rFonts w:ascii="Cambria Math" w:hAnsi="Cambria Math" w:cs="Times New Roman"/>
                      <w:i/>
                      <w:kern w:val="0"/>
                      <w:lang w:val="en-GB"/>
                    </w:rPr>
                  </m:ctrlPr>
                </m:sSubPr>
                <m:e>
                  <m:r>
                    <w:rPr>
                      <w:rFonts w:ascii="Cambria Math" w:hAnsi="Cambria Math" w:cs="Times New Roman"/>
                      <w:kern w:val="0"/>
                      <w:lang w:val="en-GB"/>
                    </w:rPr>
                    <m:t>w</m:t>
                  </m:r>
                </m:e>
                <m:sub>
                  <m:r>
                    <w:rPr>
                      <w:rFonts w:ascii="Cambria Math" w:hAnsi="Cambria Math" w:cs="Times New Roman"/>
                      <w:kern w:val="0"/>
                      <w:lang w:val="en-GB"/>
                    </w:rPr>
                    <m:t>.j,t</m:t>
                  </m:r>
                </m:sub>
              </m:sSub>
            </m:e>
          </m:nary>
          <m:sSub>
            <m:sSubPr>
              <m:ctrlPr>
                <w:rPr>
                  <w:rFonts w:ascii="Cambria Math" w:hAnsi="Cambria Math" w:cs="Times New Roman"/>
                  <w:i/>
                  <w:kern w:val="0"/>
                  <w:lang w:val="en-GB"/>
                </w:rPr>
              </m:ctrlPr>
            </m:sSubPr>
            <m:e>
              <m:r>
                <w:rPr>
                  <w:rFonts w:ascii="Cambria Math" w:hAnsi="Cambria Math" w:cs="Times New Roman"/>
                  <w:kern w:val="0"/>
                  <w:lang w:val="en-GB"/>
                </w:rPr>
                <m:t>en</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TBT</m:t>
                  </m:r>
                </m:sub>
              </m:sSub>
            </m:e>
            <m:sub>
              <m:r>
                <w:rPr>
                  <w:rFonts w:ascii="Cambria Math" w:hAnsi="Cambria Math" w:cs="Times New Roman"/>
                  <w:kern w:val="0"/>
                  <w:lang w:val="en-GB"/>
                </w:rPr>
                <m:t>j,t-1</m:t>
              </m:r>
            </m:sub>
          </m:sSub>
          <m:r>
            <w:rPr>
              <w:rFonts w:ascii="Cambria Math" w:hAnsi="Cambria Math" w:cs="Times New Roman"/>
              <w:kern w:val="0"/>
              <w:lang w:val="en-GB"/>
            </w:rPr>
            <m:t xml:space="preserve">  </m:t>
          </m:r>
        </m:oMath>
      </m:oMathPara>
    </w:p>
    <w:p w14:paraId="57D97698" w14:textId="77777777" w:rsidR="00E94301" w:rsidRPr="002B0AB4" w:rsidRDefault="00E94301" w:rsidP="00E94301">
      <w:pPr>
        <w:autoSpaceDE w:val="0"/>
        <w:autoSpaceDN w:val="0"/>
        <w:adjustRightInd w:val="0"/>
        <w:spacing w:before="100" w:beforeAutospacing="1" w:line="276" w:lineRule="auto"/>
        <w:ind w:right="-1" w:firstLine="142"/>
        <w:jc w:val="both"/>
        <w:rPr>
          <w:rFonts w:ascii="Times New Roman" w:eastAsiaTheme="minorEastAsia" w:hAnsi="Times New Roman" w:cs="Times New Roman"/>
          <w:kern w:val="0"/>
          <w:lang w:val="en-GB"/>
        </w:rPr>
      </w:pPr>
      <m:oMathPara>
        <m:oMath>
          <m:r>
            <w:rPr>
              <w:rFonts w:ascii="Cambria Math" w:hAnsi="Cambria Math" w:cs="Times New Roman"/>
              <w:kern w:val="0"/>
              <w:lang w:val="en-GB"/>
            </w:rPr>
            <m:t xml:space="preserve">                                           +</m:t>
          </m:r>
          <m:sSub>
            <m:sSubPr>
              <m:ctrlPr>
                <w:rPr>
                  <w:rFonts w:ascii="Cambria Math" w:hAnsi="Cambria Math" w:cs="Times New Roman"/>
                  <w:i/>
                  <w:kern w:val="0"/>
                  <w:lang w:val="en-GB"/>
                </w:rPr>
              </m:ctrlPr>
            </m:sSubPr>
            <m:e>
              <m:r>
                <w:rPr>
                  <w:rFonts w:ascii="Cambria Math" w:hAnsi="Cambria Math" w:cs="Times New Roman"/>
                  <w:kern w:val="0"/>
                  <w:lang w:val="en-GB"/>
                </w:rPr>
                <m:t>β</m:t>
              </m:r>
            </m:e>
            <m:sub>
              <m:r>
                <w:rPr>
                  <w:rFonts w:ascii="Cambria Math" w:hAnsi="Cambria Math" w:cs="Times New Roman"/>
                  <w:kern w:val="0"/>
                  <w:lang w:val="en-GB"/>
                </w:rPr>
                <m:t>1</m:t>
              </m:r>
            </m:sub>
          </m:sSub>
          <m:sSub>
            <m:sSubPr>
              <m:ctrlPr>
                <w:rPr>
                  <w:rFonts w:ascii="Cambria Math" w:hAnsi="Cambria Math" w:cs="Times New Roman"/>
                  <w:i/>
                  <w:kern w:val="0"/>
                  <w:lang w:val="en-GB"/>
                </w:rPr>
              </m:ctrlPr>
            </m:sSubPr>
            <m:e>
              <m:r>
                <w:rPr>
                  <w:rFonts w:ascii="Cambria Math" w:hAnsi="Cambria Math" w:cs="Times New Roman"/>
                  <w:kern w:val="0"/>
                  <w:lang w:val="en-GB"/>
                </w:rPr>
                <m:t>en</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RTA</m:t>
                  </m:r>
                </m:sub>
              </m:sSub>
            </m:e>
            <m:sub>
              <m:r>
                <w:rPr>
                  <w:rFonts w:ascii="Cambria Math" w:hAnsi="Cambria Math" w:cs="Times New Roman"/>
                  <w:kern w:val="0"/>
                  <w:lang w:val="en-GB"/>
                </w:rPr>
                <m:t>i,t</m:t>
              </m:r>
            </m:sub>
          </m:sSub>
          <m:r>
            <w:rPr>
              <w:rFonts w:ascii="Cambria Math" w:hAnsi="Cambria Math" w:cs="Times New Roman"/>
              <w:kern w:val="0"/>
              <w:lang w:val="en-GB"/>
            </w:rPr>
            <m:t>+</m:t>
          </m:r>
          <m:nary>
            <m:naryPr>
              <m:chr m:val="∑"/>
              <m:limLoc m:val="undOvr"/>
              <m:ctrlPr>
                <w:rPr>
                  <w:rFonts w:ascii="Cambria Math" w:hAnsi="Cambria Math" w:cs="Times New Roman"/>
                  <w:i/>
                  <w:kern w:val="0"/>
                  <w:lang w:val="en-GB"/>
                </w:rPr>
              </m:ctrlPr>
            </m:naryPr>
            <m:sub>
              <m:r>
                <w:rPr>
                  <w:rFonts w:ascii="Cambria Math" w:hAnsi="Cambria Math" w:cs="Times New Roman"/>
                  <w:kern w:val="0"/>
                  <w:lang w:val="en-GB"/>
                </w:rPr>
                <m:t>z=1</m:t>
              </m:r>
            </m:sub>
            <m:sup>
              <m:r>
                <w:rPr>
                  <w:rFonts w:ascii="Cambria Math" w:hAnsi="Cambria Math" w:cs="Times New Roman"/>
                  <w:kern w:val="0"/>
                  <w:lang w:val="en-GB"/>
                </w:rPr>
                <m:t>k</m:t>
              </m:r>
            </m:sup>
            <m:e>
              <m:sSub>
                <m:sSubPr>
                  <m:ctrlPr>
                    <w:rPr>
                      <w:rFonts w:ascii="Cambria Math" w:hAnsi="Cambria Math" w:cs="Times New Roman"/>
                      <w:i/>
                      <w:kern w:val="0"/>
                      <w:lang w:val="en-GB"/>
                    </w:rPr>
                  </m:ctrlPr>
                </m:sSubPr>
                <m:e>
                  <m:r>
                    <w:rPr>
                      <w:rFonts w:ascii="Cambria Math" w:hAnsi="Cambria Math" w:cs="Times New Roman"/>
                      <w:kern w:val="0"/>
                      <w:lang w:val="en-GB"/>
                    </w:rPr>
                    <m:t>γ</m:t>
                  </m:r>
                </m:e>
                <m:sub>
                  <m:r>
                    <w:rPr>
                      <w:rFonts w:ascii="Cambria Math" w:hAnsi="Cambria Math" w:cs="Times New Roman"/>
                      <w:kern w:val="0"/>
                      <w:lang w:val="en-GB"/>
                    </w:rPr>
                    <m:t>z</m:t>
                  </m:r>
                </m:sub>
              </m:sSub>
              <m:sSubSup>
                <m:sSubSupPr>
                  <m:ctrlPr>
                    <w:rPr>
                      <w:rFonts w:ascii="Cambria Math" w:hAnsi="Cambria Math" w:cs="Times New Roman"/>
                      <w:i/>
                      <w:kern w:val="0"/>
                      <w:lang w:val="en-GB"/>
                    </w:rPr>
                  </m:ctrlPr>
                </m:sSubSupPr>
                <m:e>
                  <m:r>
                    <w:rPr>
                      <w:rFonts w:ascii="Cambria Math" w:hAnsi="Cambria Math" w:cs="Times New Roman"/>
                      <w:kern w:val="0"/>
                      <w:lang w:val="en-GB"/>
                    </w:rPr>
                    <m:t>x</m:t>
                  </m:r>
                </m:e>
                <m:sub>
                  <m:r>
                    <w:rPr>
                      <w:rFonts w:ascii="Cambria Math" w:hAnsi="Cambria Math" w:cs="Times New Roman"/>
                      <w:kern w:val="0"/>
                      <w:lang w:val="en-GB"/>
                    </w:rPr>
                    <m:t>i,t</m:t>
                  </m:r>
                </m:sub>
                <m:sup>
                  <m:r>
                    <w:rPr>
                      <w:rFonts w:ascii="Cambria Math" w:hAnsi="Cambria Math" w:cs="Times New Roman"/>
                      <w:kern w:val="0"/>
                      <w:lang w:val="en-GB"/>
                    </w:rPr>
                    <m:t>z</m:t>
                  </m:r>
                </m:sup>
              </m:sSubSup>
            </m:e>
          </m:nary>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φ</m:t>
              </m:r>
            </m:e>
            <m:sub>
              <m:r>
                <w:rPr>
                  <w:rFonts w:ascii="Cambria Math" w:hAnsi="Cambria Math" w:cs="Times New Roman"/>
                  <w:kern w:val="0"/>
                  <w:lang w:val="en-GB"/>
                </w:rPr>
                <m:t>t</m:t>
              </m:r>
            </m:sub>
          </m:sSub>
          <m:r>
            <w:rPr>
              <w:rFonts w:ascii="Cambria Math" w:hAnsi="Cambria Math" w:cs="Times New Roman"/>
              <w:kern w:val="0"/>
              <w:lang w:val="en-GB"/>
            </w:rPr>
            <m:t>+</m:t>
          </m:r>
          <m:sSub>
            <m:sSubPr>
              <m:ctrlPr>
                <w:rPr>
                  <w:rFonts w:ascii="Cambria Math" w:hAnsi="Cambria Math" w:cs="Times New Roman"/>
                  <w:i/>
                  <w:kern w:val="0"/>
                  <w:lang w:val="en-GB"/>
                </w:rPr>
              </m:ctrlPr>
            </m:sSubPr>
            <m:e>
              <m:r>
                <w:rPr>
                  <w:rFonts w:ascii="Cambria Math" w:hAnsi="Cambria Math" w:cs="Times New Roman"/>
                  <w:kern w:val="0"/>
                  <w:lang w:val="en-GB"/>
                </w:rPr>
                <m:t>v</m:t>
              </m:r>
            </m:e>
            <m:sub>
              <m:r>
                <w:rPr>
                  <w:rFonts w:ascii="Cambria Math" w:hAnsi="Cambria Math" w:cs="Times New Roman"/>
                  <w:kern w:val="0"/>
                  <w:lang w:val="en-GB"/>
                </w:rPr>
                <m:t>i,t</m:t>
              </m:r>
            </m:sub>
          </m:sSub>
          <m:r>
            <w:rPr>
              <w:rFonts w:ascii="Cambria Math" w:hAnsi="Cambria Math" w:cs="Times New Roman"/>
              <w:kern w:val="0"/>
              <w:lang w:val="en-GB"/>
            </w:rPr>
            <m:t xml:space="preserve">              3b)</m:t>
          </m:r>
        </m:oMath>
      </m:oMathPara>
    </w:p>
    <w:p w14:paraId="45A2B8A4" w14:textId="77777777" w:rsidR="002B0AB4" w:rsidRDefault="002B0AB4" w:rsidP="00E94301">
      <w:pPr>
        <w:autoSpaceDE w:val="0"/>
        <w:autoSpaceDN w:val="0"/>
        <w:adjustRightInd w:val="0"/>
        <w:spacing w:before="100" w:beforeAutospacing="1" w:line="276" w:lineRule="auto"/>
        <w:ind w:right="-1" w:firstLine="142"/>
        <w:jc w:val="both"/>
        <w:rPr>
          <w:rFonts w:ascii="Times New Roman" w:hAnsi="Times New Roman" w:cs="Times New Roman"/>
          <w:kern w:val="0"/>
        </w:rPr>
      </w:pPr>
    </w:p>
    <w:p w14:paraId="4179A1B1" w14:textId="379AFDAE" w:rsidR="006344F9" w:rsidRPr="00765279" w:rsidRDefault="00000000" w:rsidP="00804F9D">
      <w:pPr>
        <w:pStyle w:val="Paragrafoelenco"/>
        <w:numPr>
          <w:ilvl w:val="0"/>
          <w:numId w:val="3"/>
        </w:numPr>
        <w:autoSpaceDE w:val="0"/>
        <w:autoSpaceDN w:val="0"/>
        <w:adjustRightInd w:val="0"/>
        <w:spacing w:before="120" w:line="276" w:lineRule="auto"/>
        <w:ind w:left="0" w:right="-1" w:firstLine="142"/>
        <w:jc w:val="both"/>
        <w:rPr>
          <w:rFonts w:ascii="Times New Roman" w:hAnsi="Times New Roman" w:cs="Times New Roman"/>
          <w:b/>
          <w:bCs/>
          <w:kern w:val="0"/>
          <w:lang w:val="en-GB"/>
        </w:rPr>
      </w:pPr>
      <w:r w:rsidRPr="00765279">
        <w:rPr>
          <w:rFonts w:ascii="Times New Roman" w:hAnsi="Times New Roman" w:cs="Times New Roman"/>
          <w:b/>
          <w:bCs/>
          <w:lang w:val="en-GB"/>
        </w:rPr>
        <w:t xml:space="preserve">Results </w:t>
      </w:r>
    </w:p>
    <w:p w14:paraId="723CCB14" w14:textId="7D346917" w:rsidR="006344F9" w:rsidRPr="00765279" w:rsidRDefault="00000000" w:rsidP="00804F9D">
      <w:pPr>
        <w:autoSpaceDE w:val="0"/>
        <w:autoSpaceDN w:val="0"/>
        <w:adjustRightInd w:val="0"/>
        <w:spacing w:before="120" w:line="276" w:lineRule="auto"/>
        <w:ind w:right="-1" w:firstLine="360"/>
        <w:jc w:val="both"/>
        <w:rPr>
          <w:rFonts w:ascii="Times New Roman" w:hAnsi="Times New Roman" w:cs="Times New Roman"/>
          <w:kern w:val="0"/>
          <w:lang w:val="en-GB"/>
        </w:rPr>
      </w:pPr>
      <w:r w:rsidRPr="00765279">
        <w:rPr>
          <w:rFonts w:ascii="Times New Roman" w:hAnsi="Times New Roman" w:cs="Times New Roman"/>
          <w:kern w:val="0"/>
          <w:lang w:val="en-GB"/>
        </w:rPr>
        <w:t xml:space="preserve">Table 1 reports </w:t>
      </w:r>
      <w:r w:rsidR="00507769" w:rsidRPr="00765279">
        <w:rPr>
          <w:rFonts w:ascii="Times New Roman" w:hAnsi="Times New Roman" w:cs="Times New Roman"/>
          <w:kern w:val="0"/>
          <w:lang w:val="en-GB"/>
        </w:rPr>
        <w:t xml:space="preserve">the </w:t>
      </w:r>
      <w:r w:rsidRPr="00765279">
        <w:rPr>
          <w:rFonts w:ascii="Times New Roman" w:eastAsia="Aptos" w:hAnsi="Times New Roman" w:cs="Times New Roman"/>
          <w:kern w:val="0"/>
          <w:lang w:val="en-GB"/>
        </w:rPr>
        <w:t xml:space="preserve">estimation </w:t>
      </w:r>
      <w:r w:rsidRPr="00765279">
        <w:rPr>
          <w:rFonts w:ascii="Times New Roman" w:hAnsi="Times New Roman" w:cs="Times New Roman"/>
          <w:kern w:val="0"/>
          <w:lang w:val="en-GB"/>
        </w:rPr>
        <w:t xml:space="preserve">results of Equation (1). </w:t>
      </w:r>
      <w:r w:rsidRPr="00765279">
        <w:rPr>
          <w:rStyle w:val="Rimandonotaapidipagina"/>
          <w:rFonts w:ascii="Times New Roman" w:hAnsi="Times New Roman" w:cs="Times New Roman"/>
          <w:kern w:val="0"/>
          <w:lang w:val="en-GB"/>
        </w:rPr>
        <w:footnoteReference w:id="11"/>
      </w:r>
      <w:r w:rsidR="00D47014" w:rsidRPr="00765279">
        <w:rPr>
          <w:rFonts w:ascii="Times New Roman" w:hAnsi="Times New Roman" w:cs="Times New Roman"/>
          <w:kern w:val="0"/>
          <w:lang w:val="en-GB"/>
        </w:rPr>
        <w:t xml:space="preserve"> </w:t>
      </w:r>
      <w:r w:rsidR="006E31F2" w:rsidRPr="00765279">
        <w:rPr>
          <w:rFonts w:ascii="Times New Roman" w:hAnsi="Times New Roman" w:cs="Times New Roman"/>
          <w:kern w:val="0"/>
          <w:lang w:val="en-GB"/>
        </w:rPr>
        <w:t xml:space="preserve">We first run estimations using the sum of provisions on fertilizers and pesticides and on organic food as </w:t>
      </w:r>
      <w:r w:rsidR="007B76E7" w:rsidRPr="00765279">
        <w:rPr>
          <w:rFonts w:ascii="Times New Roman" w:hAnsi="Times New Roman" w:cs="Times New Roman"/>
          <w:kern w:val="0"/>
          <w:lang w:val="en-GB"/>
        </w:rPr>
        <w:t xml:space="preserve">an aggregate </w:t>
      </w:r>
      <w:r w:rsidR="006E31F2" w:rsidRPr="00765279">
        <w:rPr>
          <w:rFonts w:ascii="Times New Roman" w:hAnsi="Times New Roman" w:cs="Times New Roman"/>
          <w:kern w:val="0"/>
          <w:lang w:val="en-GB"/>
        </w:rPr>
        <w:t>measurement of RTAs</w:t>
      </w:r>
      <w:r w:rsidRPr="00765279">
        <w:rPr>
          <w:rFonts w:ascii="Times New Roman" w:eastAsia="Aptos" w:hAnsi="Times New Roman" w:cs="Times New Roman"/>
          <w:kern w:val="0"/>
          <w:lang w:val="en-GB"/>
        </w:rPr>
        <w:t xml:space="preserve">’ environmental provisions (column 1). </w:t>
      </w:r>
      <w:r w:rsidRPr="00765279">
        <w:rPr>
          <w:rFonts w:ascii="Times New Roman" w:hAnsi="Times New Roman" w:cs="Times New Roman"/>
          <w:kern w:val="0"/>
          <w:lang w:val="en-GB"/>
        </w:rPr>
        <w:t>Column (2) report</w:t>
      </w:r>
      <w:r w:rsidR="00D47014" w:rsidRPr="00765279">
        <w:rPr>
          <w:rFonts w:ascii="Times New Roman" w:hAnsi="Times New Roman" w:cs="Times New Roman"/>
          <w:kern w:val="0"/>
          <w:lang w:val="en-GB"/>
        </w:rPr>
        <w:t>s</w:t>
      </w:r>
      <w:r w:rsidRPr="00765279">
        <w:rPr>
          <w:rFonts w:ascii="Times New Roman" w:hAnsi="Times New Roman" w:cs="Times New Roman"/>
          <w:kern w:val="0"/>
          <w:lang w:val="en-GB"/>
        </w:rPr>
        <w:t xml:space="preserve"> the estimation </w:t>
      </w:r>
      <w:r w:rsidRPr="00765279">
        <w:rPr>
          <w:rFonts w:ascii="Times New Roman" w:eastAsia="Aptos" w:hAnsi="Times New Roman" w:cs="Times New Roman"/>
          <w:kern w:val="0"/>
          <w:lang w:val="en-GB"/>
        </w:rPr>
        <w:t>results when we consider provisions on fertilizers and pesticides (</w:t>
      </w:r>
      <w:r w:rsidRPr="00765279">
        <w:rPr>
          <w:rFonts w:ascii="Times New Roman" w:hAnsi="Times New Roman" w:cs="Times New Roman"/>
          <w:i/>
          <w:iCs/>
          <w:kern w:val="0"/>
          <w:lang w:val="en-GB"/>
        </w:rPr>
        <w:t>RTA1025</w:t>
      </w:r>
      <w:r w:rsidRPr="00765279">
        <w:rPr>
          <w:rFonts w:ascii="Times New Roman" w:hAnsi="Times New Roman" w:cs="Times New Roman"/>
          <w:kern w:val="0"/>
          <w:lang w:val="en-GB"/>
        </w:rPr>
        <w:t>) and organic food (</w:t>
      </w:r>
      <w:r w:rsidRPr="00765279">
        <w:rPr>
          <w:rFonts w:ascii="Times New Roman" w:hAnsi="Times New Roman" w:cs="Times New Roman"/>
          <w:i/>
          <w:iCs/>
          <w:kern w:val="0"/>
          <w:lang w:val="en-GB"/>
        </w:rPr>
        <w:t>RTA1026</w:t>
      </w:r>
      <w:r w:rsidRPr="00765279">
        <w:rPr>
          <w:rFonts w:ascii="Times New Roman" w:hAnsi="Times New Roman" w:cs="Times New Roman"/>
          <w:kern w:val="0"/>
          <w:lang w:val="en-GB"/>
        </w:rPr>
        <w:t>) separately. Column (3) report</w:t>
      </w:r>
      <w:r w:rsidRPr="00765279">
        <w:rPr>
          <w:rFonts w:ascii="Times New Roman" w:eastAsia="Aptos" w:hAnsi="Times New Roman" w:cs="Times New Roman"/>
          <w:kern w:val="0"/>
          <w:lang w:val="en-GB"/>
        </w:rPr>
        <w:t>s the results of previous specifications when we include our exogenous variables: average tariffs of pesticides, fertili</w:t>
      </w:r>
      <w:r w:rsidRPr="00765279">
        <w:rPr>
          <w:rFonts w:ascii="Times New Roman" w:hAnsi="Times New Roman" w:cs="Times New Roman"/>
          <w:kern w:val="0"/>
          <w:lang w:val="en-GB"/>
        </w:rPr>
        <w:t>zers</w:t>
      </w:r>
      <w:r w:rsidRPr="00765279">
        <w:rPr>
          <w:rFonts w:ascii="Times New Roman" w:eastAsia="Aptos" w:hAnsi="Times New Roman" w:cs="Times New Roman"/>
          <w:kern w:val="0"/>
          <w:lang w:val="en-GB"/>
        </w:rPr>
        <w:t>, and agricultural trade (</w:t>
      </w:r>
      <w:proofErr w:type="spellStart"/>
      <w:r w:rsidRPr="00765279">
        <w:rPr>
          <w:rFonts w:ascii="Times New Roman" w:hAnsi="Times New Roman" w:cs="Times New Roman"/>
          <w:i/>
          <w:iCs/>
          <w:kern w:val="0"/>
          <w:lang w:val="en-GB"/>
        </w:rPr>
        <w:t>Tpes</w:t>
      </w:r>
      <w:proofErr w:type="spellEnd"/>
      <w:r w:rsidRPr="00765279">
        <w:rPr>
          <w:rFonts w:ascii="Times New Roman" w:hAnsi="Times New Roman" w:cs="Times New Roman"/>
          <w:i/>
          <w:iCs/>
          <w:kern w:val="0"/>
          <w:lang w:val="en-GB"/>
        </w:rPr>
        <w:t xml:space="preserve">, </w:t>
      </w:r>
      <w:proofErr w:type="spellStart"/>
      <w:r w:rsidRPr="00765279">
        <w:rPr>
          <w:rFonts w:ascii="Times New Roman" w:hAnsi="Times New Roman" w:cs="Times New Roman"/>
          <w:i/>
          <w:iCs/>
          <w:kern w:val="0"/>
          <w:lang w:val="en-GB"/>
        </w:rPr>
        <w:t>Tfer</w:t>
      </w:r>
      <w:proofErr w:type="spellEnd"/>
      <w:r w:rsidRPr="00765279">
        <w:rPr>
          <w:rFonts w:ascii="Times New Roman" w:hAnsi="Times New Roman" w:cs="Times New Roman"/>
          <w:i/>
          <w:iCs/>
          <w:kern w:val="0"/>
          <w:lang w:val="en-GB"/>
        </w:rPr>
        <w:t xml:space="preserve">, </w:t>
      </w:r>
      <w:proofErr w:type="spellStart"/>
      <w:r w:rsidRPr="00765279">
        <w:rPr>
          <w:rFonts w:ascii="Times New Roman" w:hAnsi="Times New Roman" w:cs="Times New Roman"/>
          <w:i/>
          <w:iCs/>
          <w:kern w:val="0"/>
          <w:lang w:val="en-GB"/>
        </w:rPr>
        <w:t>Tagrtrade</w:t>
      </w:r>
      <w:proofErr w:type="spellEnd"/>
      <w:r w:rsidRPr="00765279">
        <w:rPr>
          <w:rFonts w:ascii="Times New Roman" w:hAnsi="Times New Roman" w:cs="Times New Roman"/>
          <w:kern w:val="0"/>
          <w:lang w:val="en-GB"/>
        </w:rPr>
        <w:t xml:space="preserve">) and </w:t>
      </w:r>
      <w:proofErr w:type="spellStart"/>
      <w:r w:rsidRPr="00765279">
        <w:rPr>
          <w:rFonts w:ascii="Times New Roman" w:hAnsi="Times New Roman" w:cs="Times New Roman"/>
          <w:i/>
          <w:iCs/>
          <w:kern w:val="0"/>
          <w:lang w:val="en-GB"/>
        </w:rPr>
        <w:t>EPIscore</w:t>
      </w:r>
      <w:proofErr w:type="spellEnd"/>
      <w:r w:rsidRPr="00765279">
        <w:rPr>
          <w:rFonts w:ascii="Times New Roman" w:hAnsi="Times New Roman" w:cs="Times New Roman"/>
          <w:kern w:val="0"/>
          <w:lang w:val="en-GB"/>
        </w:rPr>
        <w:t xml:space="preserve"> which is the sum of the indexes measuring the sustainable management of fertilizers and pesticides. </w:t>
      </w:r>
    </w:p>
    <w:p w14:paraId="2147BEEB" w14:textId="4521E673" w:rsidR="006344F9" w:rsidRPr="00765279" w:rsidRDefault="00000000" w:rsidP="00804F9D">
      <w:pPr>
        <w:autoSpaceDE w:val="0"/>
        <w:autoSpaceDN w:val="0"/>
        <w:adjustRightInd w:val="0"/>
        <w:spacing w:before="120" w:line="276" w:lineRule="auto"/>
        <w:ind w:right="-1" w:firstLine="360"/>
        <w:jc w:val="both"/>
        <w:rPr>
          <w:rFonts w:ascii="Times New Roman" w:hAnsi="Times New Roman" w:cs="Times New Roman"/>
          <w:lang w:val="en-GB"/>
        </w:rPr>
      </w:pPr>
      <w:r w:rsidRPr="00765279">
        <w:rPr>
          <w:rFonts w:ascii="Times New Roman" w:hAnsi="Times New Roman" w:cs="Times New Roman"/>
          <w:kern w:val="0"/>
          <w:lang w:val="en-GB"/>
        </w:rPr>
        <w:t xml:space="preserve">Our results show that </w:t>
      </w:r>
      <w:proofErr w:type="spellStart"/>
      <w:r w:rsidRPr="00765279">
        <w:rPr>
          <w:rFonts w:ascii="Times New Roman" w:hAnsi="Times New Roman" w:cs="Times New Roman"/>
          <w:i/>
          <w:iCs/>
          <w:kern w:val="0"/>
          <w:lang w:val="en-GB"/>
        </w:rPr>
        <w:t>i</w:t>
      </w:r>
      <w:proofErr w:type="spellEnd"/>
      <w:r w:rsidRPr="00765279">
        <w:rPr>
          <w:rFonts w:ascii="Times New Roman" w:hAnsi="Times New Roman" w:cs="Times New Roman"/>
          <w:i/>
          <w:iCs/>
          <w:kern w:val="0"/>
          <w:lang w:val="en-GB"/>
        </w:rPr>
        <w:t>)</w:t>
      </w:r>
      <w:r w:rsidRPr="00765279">
        <w:rPr>
          <w:rFonts w:ascii="Times New Roman" w:hAnsi="Times New Roman" w:cs="Times New Roman"/>
          <w:kern w:val="0"/>
          <w:lang w:val="en-GB"/>
        </w:rPr>
        <w:t xml:space="preserve"> provisions on pesticides and fertilizers positively affect TBT (on average</w:t>
      </w:r>
      <w:r w:rsidRPr="00765279">
        <w:rPr>
          <w:rFonts w:ascii="Times New Roman" w:eastAsia="Aptos" w:hAnsi="Times New Roman" w:cs="Times New Roman"/>
          <w:kern w:val="0"/>
          <w:lang w:val="en-GB"/>
        </w:rPr>
        <w:t xml:space="preserve">, each additional </w:t>
      </w:r>
      <w:r w:rsidRPr="00765279">
        <w:rPr>
          <w:rFonts w:ascii="Times New Roman" w:hAnsi="Times New Roman" w:cs="Times New Roman"/>
          <w:i/>
          <w:iCs/>
          <w:kern w:val="0"/>
          <w:lang w:val="en-GB"/>
        </w:rPr>
        <w:t>envRTA1025</w:t>
      </w:r>
      <w:r w:rsidRPr="00765279">
        <w:rPr>
          <w:rFonts w:ascii="Times New Roman" w:hAnsi="Times New Roman" w:cs="Times New Roman"/>
          <w:kern w:val="0"/>
          <w:lang w:val="en-GB"/>
        </w:rPr>
        <w:t xml:space="preserve"> leads to an introduction of about 2.</w:t>
      </w:r>
      <w:r w:rsidR="00A6099D">
        <w:rPr>
          <w:rFonts w:ascii="Times New Roman" w:hAnsi="Times New Roman" w:cs="Times New Roman"/>
          <w:kern w:val="0"/>
          <w:lang w:val="en-GB"/>
        </w:rPr>
        <w:t>5</w:t>
      </w:r>
      <w:r w:rsidR="00A6099D" w:rsidRPr="00765279">
        <w:rPr>
          <w:rFonts w:ascii="Times New Roman" w:hAnsi="Times New Roman" w:cs="Times New Roman"/>
          <w:kern w:val="0"/>
          <w:lang w:val="en-GB"/>
        </w:rPr>
        <w:t xml:space="preserve"> </w:t>
      </w:r>
      <w:r w:rsidRPr="00765279">
        <w:rPr>
          <w:rFonts w:ascii="Times New Roman" w:hAnsi="Times New Roman" w:cs="Times New Roman"/>
          <w:kern w:val="0"/>
          <w:lang w:val="en-GB"/>
        </w:rPr>
        <w:t xml:space="preserve">new TBT), while this is not the case for </w:t>
      </w:r>
      <w:r w:rsidRPr="00765279">
        <w:rPr>
          <w:rFonts w:ascii="Times New Roman" w:hAnsi="Times New Roman" w:cs="Times New Roman"/>
          <w:i/>
          <w:iCs/>
          <w:kern w:val="0"/>
          <w:lang w:val="en-GB"/>
        </w:rPr>
        <w:t>envRTA1026</w:t>
      </w:r>
      <w:r w:rsidRPr="00765279">
        <w:rPr>
          <w:rFonts w:ascii="Times New Roman" w:hAnsi="Times New Roman" w:cs="Times New Roman"/>
          <w:kern w:val="0"/>
          <w:lang w:val="en-GB"/>
        </w:rPr>
        <w:t xml:space="preserve"> which turns out to exert a negative effect; </w:t>
      </w:r>
      <w:r w:rsidRPr="00765279">
        <w:rPr>
          <w:rFonts w:ascii="Times New Roman" w:hAnsi="Times New Roman" w:cs="Times New Roman"/>
          <w:i/>
          <w:iCs/>
          <w:kern w:val="0"/>
          <w:lang w:val="en-GB"/>
        </w:rPr>
        <w:t>ii</w:t>
      </w:r>
      <w:r w:rsidRPr="00765279">
        <w:rPr>
          <w:rFonts w:ascii="Times New Roman" w:hAnsi="Times New Roman" w:cs="Times New Roman"/>
          <w:kern w:val="0"/>
          <w:lang w:val="en-GB"/>
        </w:rPr>
        <w:t xml:space="preserve">) tariffs on pesticides positively influence TBTs, whereas those applied to fertilizers do not exert </w:t>
      </w:r>
      <w:r w:rsidRPr="00765279">
        <w:rPr>
          <w:rFonts w:ascii="Times New Roman" w:eastAsia="Aptos" w:hAnsi="Times New Roman" w:cs="Times New Roman"/>
          <w:kern w:val="0"/>
          <w:lang w:val="en-GB"/>
        </w:rPr>
        <w:t xml:space="preserve">a significant influence. </w:t>
      </w:r>
      <w:r w:rsidR="00054F3F">
        <w:rPr>
          <w:rFonts w:ascii="Times New Roman" w:eastAsia="Aptos" w:hAnsi="Times New Roman" w:cs="Times New Roman"/>
          <w:kern w:val="0"/>
          <w:lang w:val="en-GB"/>
        </w:rPr>
        <w:t>W</w:t>
      </w:r>
      <w:r w:rsidRPr="00765279">
        <w:rPr>
          <w:rFonts w:ascii="Times New Roman" w:eastAsia="Aptos" w:hAnsi="Times New Roman" w:cs="Times New Roman"/>
          <w:kern w:val="0"/>
          <w:lang w:val="en-GB"/>
        </w:rPr>
        <w:t xml:space="preserve">e find a negative and significant sign for the coefficient of the average tariffs on agricultural trade; </w:t>
      </w:r>
      <w:r w:rsidRPr="00765279">
        <w:rPr>
          <w:rFonts w:ascii="Times New Roman" w:hAnsi="Times New Roman" w:cs="Times New Roman"/>
          <w:i/>
          <w:iCs/>
          <w:kern w:val="0"/>
          <w:lang w:val="en-GB"/>
        </w:rPr>
        <w:t>iii</w:t>
      </w:r>
      <w:r w:rsidRPr="00765279">
        <w:rPr>
          <w:rFonts w:ascii="Times New Roman" w:hAnsi="Times New Roman" w:cs="Times New Roman"/>
          <w:kern w:val="0"/>
          <w:lang w:val="en-GB"/>
        </w:rPr>
        <w:t>) the coefficients of the sustainable management of fertilizer and pesticide variable</w:t>
      </w:r>
      <w:r w:rsidRPr="00765279">
        <w:rPr>
          <w:rFonts w:ascii="Times New Roman" w:eastAsia="Aptos" w:hAnsi="Times New Roman" w:cs="Times New Roman"/>
          <w:kern w:val="0"/>
          <w:lang w:val="en-GB"/>
        </w:rPr>
        <w:t xml:space="preserve">s are positive and significant, thus confirming the previous literature (Ghodsi, 2018) and our own expectations. </w:t>
      </w:r>
    </w:p>
    <w:p w14:paraId="37BFE825" w14:textId="3E24CD37" w:rsidR="00E94301"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eastAsia="Aptos" w:hAnsi="Times New Roman" w:cs="Times New Roman"/>
          <w:kern w:val="0"/>
          <w:lang w:val="en-GB"/>
        </w:rPr>
        <w:t xml:space="preserve">Table 2 reports the </w:t>
      </w:r>
      <w:r w:rsidRPr="00765279">
        <w:rPr>
          <w:rFonts w:ascii="Times New Roman" w:hAnsi="Times New Roman" w:cs="Times New Roman"/>
          <w:kern w:val="0"/>
          <w:lang w:val="en-GB"/>
        </w:rPr>
        <w:t xml:space="preserve">results of the robust standard error dynamic estimations </w:t>
      </w:r>
      <w:r w:rsidR="0000362F" w:rsidRPr="00765279">
        <w:rPr>
          <w:rFonts w:ascii="Times New Roman" w:hAnsi="Times New Roman" w:cs="Times New Roman"/>
          <w:kern w:val="0"/>
          <w:lang w:val="en-GB"/>
        </w:rPr>
        <w:t>(Equation 2)</w:t>
      </w:r>
      <w:r w:rsidRPr="00765279">
        <w:rPr>
          <w:rFonts w:ascii="Times New Roman" w:hAnsi="Times New Roman" w:cs="Times New Roman"/>
          <w:kern w:val="0"/>
          <w:lang w:val="en-GB"/>
        </w:rPr>
        <w:t>. In all specifications, we instrumented our measurement of RTA</w:t>
      </w:r>
      <w:r w:rsidR="00507769" w:rsidRPr="00765279">
        <w:rPr>
          <w:rFonts w:ascii="Times New Roman" w:hAnsi="Times New Roman" w:cs="Times New Roman"/>
          <w:kern w:val="0"/>
          <w:lang w:val="en-GB"/>
        </w:rPr>
        <w:t>s</w:t>
      </w:r>
      <w:r w:rsidRPr="00765279">
        <w:rPr>
          <w:rFonts w:ascii="Times New Roman" w:eastAsia="Aptos" w:hAnsi="Times New Roman" w:cs="Times New Roman"/>
          <w:kern w:val="0"/>
          <w:lang w:val="en-GB"/>
        </w:rPr>
        <w:t>’ environmental</w:t>
      </w:r>
      <w:r w:rsidRPr="00765279">
        <w:rPr>
          <w:rFonts w:ascii="Times New Roman" w:hAnsi="Times New Roman" w:cs="Times New Roman"/>
          <w:kern w:val="0"/>
          <w:lang w:val="en-GB"/>
        </w:rPr>
        <w:t xml:space="preserve"> provisions with their lags. Column (</w:t>
      </w:r>
      <w:r w:rsidR="00BC3C10">
        <w:rPr>
          <w:rFonts w:ascii="Times New Roman" w:hAnsi="Times New Roman" w:cs="Times New Roman"/>
          <w:kern w:val="0"/>
          <w:lang w:val="en-GB"/>
        </w:rPr>
        <w:t>5</w:t>
      </w:r>
      <w:r w:rsidRPr="00765279">
        <w:rPr>
          <w:rFonts w:ascii="Times New Roman" w:hAnsi="Times New Roman" w:cs="Times New Roman"/>
          <w:kern w:val="0"/>
          <w:lang w:val="en-GB"/>
        </w:rPr>
        <w:t>)</w:t>
      </w:r>
      <w:r w:rsidRPr="00765279">
        <w:rPr>
          <w:rFonts w:ascii="Times New Roman" w:hAnsi="Times New Roman" w:cs="Times New Roman"/>
          <w:lang w:val="en-GB"/>
        </w:rPr>
        <w:t xml:space="preserve"> show</w:t>
      </w:r>
      <w:r w:rsidR="007B76E7" w:rsidRPr="00765279">
        <w:rPr>
          <w:rFonts w:ascii="Times New Roman" w:hAnsi="Times New Roman" w:cs="Times New Roman"/>
          <w:lang w:val="en-GB"/>
        </w:rPr>
        <w:t>s</w:t>
      </w:r>
      <w:r w:rsidRPr="00765279">
        <w:rPr>
          <w:rFonts w:ascii="Times New Roman" w:hAnsi="Times New Roman" w:cs="Times New Roman"/>
          <w:lang w:val="en-GB"/>
        </w:rPr>
        <w:t xml:space="preserve"> that </w:t>
      </w:r>
      <w:r w:rsidRPr="00765279">
        <w:rPr>
          <w:rFonts w:ascii="Times New Roman" w:eastAsia="Aptos" w:hAnsi="Times New Roman" w:cs="Times New Roman"/>
          <w:kern w:val="0"/>
          <w:lang w:val="en-GB"/>
        </w:rPr>
        <w:t xml:space="preserve">the </w:t>
      </w:r>
      <w:r w:rsidRPr="00765279">
        <w:rPr>
          <w:rFonts w:ascii="Times New Roman" w:hAnsi="Times New Roman" w:cs="Times New Roman"/>
          <w:kern w:val="0"/>
          <w:lang w:val="en-GB"/>
        </w:rPr>
        <w:t xml:space="preserve">signs and significance of </w:t>
      </w:r>
      <w:r w:rsidRPr="00765279">
        <w:rPr>
          <w:rFonts w:ascii="Times New Roman" w:eastAsia="Aptos" w:hAnsi="Times New Roman" w:cs="Times New Roman"/>
          <w:kern w:val="0"/>
          <w:lang w:val="en-GB"/>
        </w:rPr>
        <w:t>the coefficients</w:t>
      </w:r>
      <w:r w:rsidRPr="00765279">
        <w:rPr>
          <w:rFonts w:ascii="Times New Roman" w:hAnsi="Times New Roman" w:cs="Times New Roman"/>
          <w:kern w:val="0"/>
          <w:lang w:val="en-GB"/>
        </w:rPr>
        <w:t xml:space="preserve"> </w:t>
      </w:r>
      <w:r w:rsidRPr="00765279">
        <w:rPr>
          <w:rFonts w:ascii="Times New Roman" w:hAnsi="Times New Roman" w:cs="Times New Roman"/>
          <w:kern w:val="0"/>
          <w:sz w:val="22"/>
          <w:szCs w:val="22"/>
          <w:lang w:val="en-GB"/>
        </w:rPr>
        <w:t xml:space="preserve">of </w:t>
      </w:r>
      <w:r w:rsidRPr="00765279">
        <w:rPr>
          <w:rFonts w:ascii="Times New Roman" w:eastAsia="Times New Roman" w:hAnsi="Times New Roman" w:cs="Times New Roman"/>
          <w:i/>
          <w:iCs/>
          <w:color w:val="000000"/>
          <w:kern w:val="0"/>
          <w:lang w:eastAsia="it-IT"/>
          <w14:ligatures w14:val="none"/>
        </w:rPr>
        <w:t xml:space="preserve">RTA1025 </w:t>
      </w:r>
      <w:r w:rsidRPr="00765279">
        <w:rPr>
          <w:rFonts w:ascii="Times New Roman" w:eastAsia="Times New Roman" w:hAnsi="Times New Roman" w:cs="Times New Roman"/>
          <w:color w:val="000000"/>
          <w:kern w:val="0"/>
          <w:lang w:eastAsia="it-IT"/>
          <w14:ligatures w14:val="none"/>
        </w:rPr>
        <w:t>are confirmed</w:t>
      </w:r>
      <w:r w:rsidR="00507769" w:rsidRPr="00765279">
        <w:rPr>
          <w:rFonts w:ascii="Times New Roman" w:eastAsia="Times New Roman" w:hAnsi="Times New Roman" w:cs="Times New Roman"/>
          <w:color w:val="000000"/>
          <w:kern w:val="0"/>
          <w:lang w:eastAsia="it-IT"/>
          <w14:ligatures w14:val="none"/>
        </w:rPr>
        <w:t>,</w:t>
      </w:r>
      <w:r w:rsidRPr="00765279">
        <w:rPr>
          <w:rFonts w:ascii="Times New Roman" w:eastAsia="Times New Roman" w:hAnsi="Times New Roman" w:cs="Times New Roman"/>
          <w:i/>
          <w:iCs/>
          <w:color w:val="000000"/>
          <w:kern w:val="0"/>
          <w:lang w:eastAsia="it-IT"/>
          <w14:ligatures w14:val="none"/>
        </w:rPr>
        <w:t xml:space="preserve"> </w:t>
      </w:r>
      <w:r w:rsidRPr="00765279">
        <w:rPr>
          <w:rFonts w:ascii="Times New Roman" w:eastAsia="Times New Roman" w:hAnsi="Times New Roman" w:cs="Times New Roman"/>
          <w:color w:val="000000"/>
          <w:kern w:val="0"/>
          <w:lang w:eastAsia="it-IT"/>
          <w14:ligatures w14:val="none"/>
        </w:rPr>
        <w:t xml:space="preserve">whereas that of </w:t>
      </w:r>
      <w:r w:rsidRPr="00765279">
        <w:rPr>
          <w:rFonts w:ascii="Times New Roman" w:eastAsia="Times New Roman" w:hAnsi="Times New Roman" w:cs="Times New Roman"/>
          <w:i/>
          <w:iCs/>
          <w:color w:val="000000"/>
          <w:kern w:val="0"/>
          <w:lang w:eastAsia="it-IT"/>
          <w14:ligatures w14:val="none"/>
        </w:rPr>
        <w:t xml:space="preserve">RTA1026 </w:t>
      </w:r>
      <w:r w:rsidRPr="00765279">
        <w:rPr>
          <w:rFonts w:ascii="Times New Roman" w:eastAsia="Times New Roman" w:hAnsi="Times New Roman" w:cs="Times New Roman"/>
          <w:color w:val="000000"/>
          <w:kern w:val="0"/>
          <w:lang w:eastAsia="it-IT"/>
          <w14:ligatures w14:val="none"/>
        </w:rPr>
        <w:t>is never significant</w:t>
      </w:r>
      <w:r w:rsidRPr="00765279">
        <w:rPr>
          <w:rFonts w:ascii="Times New Roman" w:hAnsi="Times New Roman" w:cs="Times New Roman"/>
          <w:kern w:val="0"/>
          <w:lang w:val="en-GB"/>
        </w:rPr>
        <w:t xml:space="preserve">. </w:t>
      </w:r>
      <w:r w:rsidRPr="00765279">
        <w:rPr>
          <w:rFonts w:ascii="Times New Roman" w:eastAsia="Aptos" w:hAnsi="Times New Roman" w:cs="Times New Roman"/>
          <w:kern w:val="0"/>
          <w:lang w:val="en-GB"/>
        </w:rPr>
        <w:t xml:space="preserve">The </w:t>
      </w:r>
      <w:r w:rsidRPr="00765279">
        <w:rPr>
          <w:rFonts w:ascii="Times New Roman" w:hAnsi="Times New Roman" w:cs="Times New Roman"/>
          <w:kern w:val="0"/>
          <w:lang w:val="en-GB"/>
        </w:rPr>
        <w:t xml:space="preserve">coefficients of our control variables (column </w:t>
      </w:r>
      <w:r w:rsidR="00BC3C10">
        <w:rPr>
          <w:rFonts w:ascii="Times New Roman" w:hAnsi="Times New Roman" w:cs="Times New Roman"/>
          <w:kern w:val="0"/>
          <w:lang w:val="en-GB"/>
        </w:rPr>
        <w:t>6</w:t>
      </w:r>
      <w:r w:rsidRPr="00765279">
        <w:rPr>
          <w:rFonts w:ascii="Times New Roman" w:hAnsi="Times New Roman" w:cs="Times New Roman"/>
          <w:kern w:val="0"/>
          <w:lang w:val="en-GB"/>
        </w:rPr>
        <w:t xml:space="preserve">) are not significant. </w:t>
      </w:r>
      <w:r w:rsidRPr="00765279">
        <w:rPr>
          <w:rStyle w:val="Rimandonotaapidipagina"/>
          <w:rFonts w:ascii="Times New Roman" w:hAnsi="Times New Roman" w:cs="Times New Roman"/>
          <w:kern w:val="0"/>
          <w:lang w:val="en-GB"/>
        </w:rPr>
        <w:footnoteReference w:id="12"/>
      </w:r>
      <w:r w:rsidR="00B95DFC" w:rsidRPr="00765279">
        <w:rPr>
          <w:rFonts w:ascii="Times New Roman" w:hAnsi="Times New Roman" w:cs="Times New Roman"/>
          <w:kern w:val="0"/>
          <w:lang w:val="en-GB"/>
        </w:rPr>
        <w:t xml:space="preserve"> </w:t>
      </w:r>
    </w:p>
    <w:p w14:paraId="58741290" w14:textId="6557BB92" w:rsidR="006344F9" w:rsidRPr="00765279" w:rsidRDefault="007E6C79" w:rsidP="00E94301">
      <w:pPr>
        <w:autoSpaceDE w:val="0"/>
        <w:autoSpaceDN w:val="0"/>
        <w:adjustRightInd w:val="0"/>
        <w:spacing w:before="120" w:line="276" w:lineRule="auto"/>
        <w:ind w:right="-1" w:firstLine="142"/>
        <w:jc w:val="both"/>
        <w:rPr>
          <w:rFonts w:ascii="Times New Roman" w:hAnsi="Times New Roman" w:cs="Times New Roman"/>
          <w:kern w:val="0"/>
          <w:lang w:val="en-GB"/>
        </w:rPr>
      </w:pPr>
      <w:r w:rsidRPr="00054F3F">
        <w:rPr>
          <w:rStyle w:val="Rimandonotaapidipagina"/>
          <w:rFonts w:ascii="Times New Roman" w:hAnsi="Times New Roman" w:cs="Times New Roman"/>
          <w:kern w:val="0"/>
          <w:vertAlign w:val="baseline"/>
        </w:rPr>
        <w:lastRenderedPageBreak/>
        <w:t>T</w:t>
      </w:r>
      <w:proofErr w:type="gramStart"/>
      <w:r w:rsidR="00622CA3" w:rsidRPr="00765279">
        <w:rPr>
          <w:rFonts w:ascii="Times New Roman" w:hAnsi="Times New Roman" w:cs="Times New Roman"/>
          <w:kern w:val="0"/>
          <w:lang w:val="en-GB"/>
        </w:rPr>
        <w:t>he</w:t>
      </w:r>
      <w:proofErr w:type="gramEnd"/>
      <w:r w:rsidR="00622CA3" w:rsidRPr="00765279">
        <w:rPr>
          <w:rFonts w:ascii="Times New Roman" w:hAnsi="Times New Roman" w:cs="Times New Roman"/>
          <w:kern w:val="0"/>
          <w:lang w:val="en-GB"/>
        </w:rPr>
        <w:t xml:space="preserve"> dynamic model corrects serial correlation (the absence of second-order serial correlation in disturbances is not rejected), but it does not account for cross-sectional correlation. Consequently, given the large cross-sectional dimension</w:t>
      </w:r>
      <w:r w:rsidR="00E94301" w:rsidRPr="00765279">
        <w:rPr>
          <w:rFonts w:ascii="Times New Roman" w:eastAsia="Aptos" w:hAnsi="Times New Roman" w:cs="Times New Roman"/>
          <w:kern w:val="0"/>
          <w:lang w:val="en-GB"/>
        </w:rPr>
        <w:t>s of our panel data set, the GMM estimator may be inconsistent.</w:t>
      </w:r>
    </w:p>
    <w:p w14:paraId="77F90C4E" w14:textId="28E2E25A" w:rsidR="006344F9" w:rsidRPr="0076527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hAnsi="Times New Roman" w:cs="Times New Roman"/>
          <w:kern w:val="0"/>
          <w:lang w:val="en-GB"/>
        </w:rPr>
        <w:t xml:space="preserve">The results of the </w:t>
      </w:r>
      <w:r w:rsidR="00507769" w:rsidRPr="00765279">
        <w:rPr>
          <w:rFonts w:ascii="Times New Roman" w:hAnsi="Times New Roman" w:cs="Times New Roman"/>
          <w:kern w:val="0"/>
          <w:lang w:val="en-GB"/>
        </w:rPr>
        <w:t>estimations of Equation</w:t>
      </w:r>
      <w:r w:rsidR="0029179F">
        <w:rPr>
          <w:rFonts w:ascii="Times New Roman" w:hAnsi="Times New Roman" w:cs="Times New Roman"/>
          <w:kern w:val="0"/>
          <w:lang w:val="en-GB"/>
        </w:rPr>
        <w:t xml:space="preserve"> 3</w:t>
      </w:r>
      <w:r w:rsidR="00507769" w:rsidRPr="00765279">
        <w:rPr>
          <w:rFonts w:ascii="Times New Roman" w:hAnsi="Times New Roman" w:cs="Times New Roman"/>
          <w:kern w:val="0"/>
          <w:lang w:val="en-GB"/>
        </w:rPr>
        <w:t xml:space="preserve"> </w:t>
      </w:r>
      <w:r w:rsidRPr="00765279">
        <w:rPr>
          <w:rFonts w:ascii="Times New Roman" w:hAnsi="Times New Roman" w:cs="Times New Roman"/>
          <w:kern w:val="0"/>
          <w:lang w:val="en-GB"/>
        </w:rPr>
        <w:t>are reported in Table 3</w:t>
      </w:r>
      <w:r w:rsidR="0029179F">
        <w:rPr>
          <w:rFonts w:ascii="Times New Roman" w:hAnsi="Times New Roman" w:cs="Times New Roman"/>
          <w:kern w:val="0"/>
          <w:lang w:val="en-GB"/>
        </w:rPr>
        <w:t xml:space="preserve"> (columns 7-9)</w:t>
      </w:r>
      <w:r w:rsidRPr="00765279">
        <w:rPr>
          <w:rFonts w:ascii="Times New Roman" w:hAnsi="Times New Roman" w:cs="Times New Roman"/>
          <w:kern w:val="0"/>
          <w:lang w:val="en-GB"/>
        </w:rPr>
        <w:t xml:space="preserve">. The positive and significant spatial lag coefficient confirms our hypothesis of spillover effects on the </w:t>
      </w:r>
      <w:proofErr w:type="spellStart"/>
      <w:r w:rsidRPr="00765279">
        <w:rPr>
          <w:rFonts w:ascii="Times New Roman" w:hAnsi="Times New Roman" w:cs="Times New Roman"/>
          <w:i/>
          <w:iCs/>
          <w:kern w:val="0"/>
          <w:lang w:val="en-GB"/>
        </w:rPr>
        <w:t>envTBT</w:t>
      </w:r>
      <w:proofErr w:type="spellEnd"/>
      <w:r w:rsidRPr="00765279">
        <w:rPr>
          <w:rFonts w:ascii="Times New Roman" w:hAnsi="Times New Roman" w:cs="Times New Roman"/>
          <w:kern w:val="0"/>
          <w:lang w:val="en-GB"/>
        </w:rPr>
        <w:t xml:space="preserve"> of a generic </w:t>
      </w:r>
      <w:proofErr w:type="spellStart"/>
      <w:r w:rsidRPr="00765279">
        <w:rPr>
          <w:rFonts w:ascii="Times New Roman" w:hAnsi="Times New Roman" w:cs="Times New Roman"/>
          <w:i/>
          <w:iCs/>
          <w:kern w:val="0"/>
          <w:lang w:val="en-GB"/>
        </w:rPr>
        <w:t>i</w:t>
      </w:r>
      <w:proofErr w:type="spellEnd"/>
      <w:r w:rsidRPr="00765279">
        <w:rPr>
          <w:rFonts w:ascii="Times New Roman" w:hAnsi="Times New Roman" w:cs="Times New Roman"/>
          <w:i/>
          <w:iCs/>
          <w:kern w:val="0"/>
          <w:lang w:val="en-GB"/>
        </w:rPr>
        <w:t>-</w:t>
      </w:r>
      <w:r w:rsidRPr="00765279">
        <w:rPr>
          <w:rFonts w:ascii="Times New Roman" w:hAnsi="Times New Roman" w:cs="Times New Roman"/>
          <w:kern w:val="0"/>
          <w:lang w:val="en-GB"/>
        </w:rPr>
        <w:t xml:space="preserve">country member of </w:t>
      </w:r>
      <w:r w:rsidRPr="00765279">
        <w:rPr>
          <w:rFonts w:ascii="Times New Roman" w:eastAsia="Aptos" w:hAnsi="Times New Roman" w:cs="Times New Roman"/>
          <w:kern w:val="0"/>
          <w:lang w:val="en-GB"/>
        </w:rPr>
        <w:t>the RTA</w:t>
      </w:r>
      <w:r w:rsidR="00D47014" w:rsidRPr="00765279">
        <w:rPr>
          <w:rFonts w:ascii="Times New Roman" w:hAnsi="Times New Roman" w:cs="Times New Roman"/>
          <w:kern w:val="0"/>
          <w:lang w:val="en-GB"/>
        </w:rPr>
        <w:t>s</w:t>
      </w:r>
      <w:r w:rsidRPr="00765279">
        <w:rPr>
          <w:rFonts w:ascii="Times New Roman" w:hAnsi="Times New Roman" w:cs="Times New Roman"/>
          <w:kern w:val="0"/>
          <w:lang w:val="en-GB"/>
        </w:rPr>
        <w:t xml:space="preserve"> including provisions on fertilizers, pesticides</w:t>
      </w:r>
      <w:r w:rsidRPr="00765279">
        <w:rPr>
          <w:rFonts w:ascii="Times New Roman" w:eastAsia="Aptos" w:hAnsi="Times New Roman" w:cs="Times New Roman"/>
          <w:kern w:val="0"/>
          <w:lang w:val="en-GB"/>
        </w:rPr>
        <w:t>, and organic food.</w:t>
      </w:r>
      <w:r w:rsidRPr="00765279">
        <w:rPr>
          <w:rFonts w:ascii="Times New Roman" w:hAnsi="Times New Roman" w:cs="Times New Roman"/>
          <w:kern w:val="0"/>
          <w:lang w:val="en-GB"/>
        </w:rPr>
        <w:t xml:space="preserve"> If one country is </w:t>
      </w:r>
      <w:r w:rsidRPr="00765279">
        <w:rPr>
          <w:rFonts w:ascii="Times New Roman" w:eastAsia="Aptos" w:hAnsi="Times New Roman" w:cs="Times New Roman"/>
          <w:kern w:val="0"/>
          <w:lang w:val="en-GB"/>
        </w:rPr>
        <w:t>a partner of</w:t>
      </w:r>
      <w:r w:rsidRPr="00765279">
        <w:rPr>
          <w:rFonts w:ascii="Times New Roman" w:hAnsi="Times New Roman" w:cs="Times New Roman"/>
          <w:kern w:val="0"/>
          <w:lang w:val="en-GB"/>
        </w:rPr>
        <w:t xml:space="preserve"> an RTA containing these provisions, then it will tend to align its domestic regulation</w:t>
      </w:r>
      <w:r w:rsidRPr="00765279">
        <w:rPr>
          <w:rFonts w:ascii="Times New Roman" w:eastAsia="Aptos" w:hAnsi="Times New Roman" w:cs="Times New Roman"/>
          <w:kern w:val="0"/>
          <w:lang w:val="en-GB"/>
        </w:rPr>
        <w:t xml:space="preserve">s </w:t>
      </w:r>
      <w:r w:rsidRPr="00765279">
        <w:rPr>
          <w:rFonts w:ascii="Times New Roman" w:hAnsi="Times New Roman" w:cs="Times New Roman"/>
          <w:kern w:val="0"/>
          <w:lang w:val="en-GB"/>
        </w:rPr>
        <w:t>on fertilizers and pesticides with those of its partners. On average, a country issue</w:t>
      </w:r>
      <w:r w:rsidRPr="00765279">
        <w:rPr>
          <w:rFonts w:ascii="Times New Roman" w:eastAsia="Aptos" w:hAnsi="Times New Roman" w:cs="Times New Roman"/>
          <w:kern w:val="0"/>
          <w:lang w:val="en-GB"/>
        </w:rPr>
        <w:t xml:space="preserve">s one more </w:t>
      </w:r>
      <w:r w:rsidRPr="00765279">
        <w:rPr>
          <w:rFonts w:ascii="Times New Roman" w:hAnsi="Times New Roman" w:cs="Times New Roman"/>
          <w:kern w:val="0"/>
          <w:lang w:val="en-GB"/>
        </w:rPr>
        <w:t xml:space="preserve">TBT on fertilizers and pesticides for every three TBT issued by their partners. </w:t>
      </w:r>
    </w:p>
    <w:p w14:paraId="2859FF0E" w14:textId="5CF897E7" w:rsidR="006344F9" w:rsidRDefault="00000000" w:rsidP="00804F9D">
      <w:pPr>
        <w:pStyle w:val="Testocommento"/>
        <w:spacing w:before="120" w:line="276" w:lineRule="auto"/>
        <w:ind w:right="-1" w:firstLine="142"/>
        <w:jc w:val="both"/>
        <w:rPr>
          <w:rFonts w:ascii="Times New Roman" w:hAnsi="Times New Roman" w:cs="Times New Roman"/>
          <w:color w:val="000000" w:themeColor="text1"/>
          <w:kern w:val="0"/>
          <w:sz w:val="24"/>
          <w:szCs w:val="24"/>
          <w:lang w:val="en-GB"/>
        </w:rPr>
      </w:pPr>
      <w:r w:rsidRPr="00765279">
        <w:rPr>
          <w:rFonts w:ascii="Times New Roman" w:eastAsia="Aptos" w:hAnsi="Times New Roman" w:cs="Times New Roman"/>
          <w:kern w:val="0"/>
          <w:sz w:val="24"/>
          <w:szCs w:val="24"/>
          <w:lang w:val="en-GB"/>
        </w:rPr>
        <w:t xml:space="preserve">The </w:t>
      </w:r>
      <w:r w:rsidRPr="00765279">
        <w:rPr>
          <w:rFonts w:ascii="Times New Roman" w:hAnsi="Times New Roman" w:cs="Times New Roman"/>
          <w:kern w:val="0"/>
          <w:sz w:val="24"/>
          <w:szCs w:val="24"/>
          <w:lang w:val="en-GB"/>
        </w:rPr>
        <w:t xml:space="preserve">results in Table 3 confirm </w:t>
      </w:r>
      <w:r w:rsidRPr="00765279">
        <w:rPr>
          <w:rFonts w:ascii="Times New Roman" w:eastAsia="Aptos" w:hAnsi="Times New Roman" w:cs="Times New Roman"/>
          <w:kern w:val="0"/>
          <w:sz w:val="24"/>
          <w:szCs w:val="24"/>
          <w:lang w:val="en-GB"/>
        </w:rPr>
        <w:t xml:space="preserve">the signs and significance </w:t>
      </w:r>
      <w:r w:rsidRPr="00765279">
        <w:rPr>
          <w:rFonts w:ascii="Times New Roman" w:hAnsi="Times New Roman" w:cs="Times New Roman"/>
          <w:kern w:val="0"/>
          <w:sz w:val="24"/>
          <w:szCs w:val="24"/>
          <w:lang w:val="en-GB"/>
        </w:rPr>
        <w:t xml:space="preserve">of the variables </w:t>
      </w:r>
      <w:proofErr w:type="spellStart"/>
      <w:r w:rsidRPr="00765279">
        <w:rPr>
          <w:rFonts w:ascii="Times New Roman" w:hAnsi="Times New Roman" w:cs="Times New Roman"/>
          <w:i/>
          <w:iCs/>
          <w:kern w:val="0"/>
          <w:sz w:val="24"/>
          <w:szCs w:val="24"/>
          <w:lang w:val="en-GB"/>
        </w:rPr>
        <w:t>envRTA</w:t>
      </w:r>
      <w:proofErr w:type="spellEnd"/>
      <w:r w:rsidRPr="00765279">
        <w:rPr>
          <w:rFonts w:ascii="Times New Roman" w:hAnsi="Times New Roman" w:cs="Times New Roman"/>
          <w:kern w:val="0"/>
          <w:sz w:val="24"/>
          <w:szCs w:val="24"/>
          <w:lang w:val="en-GB"/>
        </w:rPr>
        <w:t xml:space="preserve"> and </w:t>
      </w:r>
      <w:r w:rsidRPr="00765279">
        <w:rPr>
          <w:rFonts w:ascii="Times New Roman" w:hAnsi="Times New Roman" w:cs="Times New Roman"/>
          <w:i/>
          <w:iCs/>
          <w:kern w:val="0"/>
          <w:sz w:val="24"/>
          <w:szCs w:val="24"/>
          <w:lang w:val="en-GB"/>
        </w:rPr>
        <w:t>RTA1025</w:t>
      </w:r>
      <w:r w:rsidRPr="00765279">
        <w:rPr>
          <w:rFonts w:ascii="Times New Roman" w:hAnsi="Times New Roman" w:cs="Times New Roman"/>
          <w:kern w:val="0"/>
          <w:sz w:val="24"/>
          <w:szCs w:val="24"/>
          <w:lang w:val="en-GB"/>
        </w:rPr>
        <w:t xml:space="preserve">. </w:t>
      </w:r>
      <w:r w:rsidRPr="00765279">
        <w:rPr>
          <w:rFonts w:ascii="Times New Roman" w:hAnsi="Times New Roman" w:cs="Times New Roman"/>
          <w:sz w:val="24"/>
          <w:szCs w:val="24"/>
        </w:rPr>
        <w:t>On average</w:t>
      </w:r>
      <w:r w:rsidRPr="00765279">
        <w:rPr>
          <w:rFonts w:ascii="Times New Roman" w:eastAsia="Aptos" w:hAnsi="Times New Roman" w:cs="Times New Roman"/>
          <w:sz w:val="24"/>
          <w:szCs w:val="24"/>
        </w:rPr>
        <w:t xml:space="preserve">, for each additional </w:t>
      </w:r>
      <w:proofErr w:type="spellStart"/>
      <w:r w:rsidRPr="00765279">
        <w:rPr>
          <w:rFonts w:ascii="Times New Roman" w:hAnsi="Times New Roman" w:cs="Times New Roman"/>
          <w:i/>
          <w:iCs/>
          <w:sz w:val="24"/>
          <w:szCs w:val="24"/>
        </w:rPr>
        <w:t>envRTA</w:t>
      </w:r>
      <w:proofErr w:type="spellEnd"/>
      <w:r w:rsidRPr="00765279">
        <w:rPr>
          <w:rFonts w:ascii="Times New Roman" w:hAnsi="Times New Roman" w:cs="Times New Roman"/>
          <w:sz w:val="24"/>
          <w:szCs w:val="24"/>
        </w:rPr>
        <w:t xml:space="preserve"> approximatively 1.2 new TBT for fertilizers or pesticides is introduced</w:t>
      </w:r>
      <w:r w:rsidR="0029179F">
        <w:rPr>
          <w:rFonts w:ascii="Times New Roman" w:hAnsi="Times New Roman" w:cs="Times New Roman"/>
          <w:sz w:val="24"/>
          <w:szCs w:val="24"/>
        </w:rPr>
        <w:t xml:space="preserve"> (column 7)</w:t>
      </w:r>
      <w:r w:rsidRPr="00765279">
        <w:rPr>
          <w:rFonts w:ascii="Times New Roman" w:hAnsi="Times New Roman" w:cs="Times New Roman"/>
          <w:kern w:val="0"/>
          <w:sz w:val="24"/>
          <w:szCs w:val="24"/>
          <w:lang w:val="en-GB"/>
        </w:rPr>
        <w:t xml:space="preserve">, and one more </w:t>
      </w:r>
      <w:r w:rsidRPr="00765279">
        <w:rPr>
          <w:rFonts w:ascii="Times New Roman" w:hAnsi="Times New Roman" w:cs="Times New Roman"/>
          <w:i/>
          <w:iCs/>
          <w:kern w:val="0"/>
          <w:sz w:val="24"/>
          <w:szCs w:val="24"/>
          <w:lang w:val="en-GB"/>
        </w:rPr>
        <w:t xml:space="preserve">RTA1025 </w:t>
      </w:r>
      <w:r w:rsidRPr="00765279">
        <w:rPr>
          <w:rFonts w:ascii="Times New Roman" w:hAnsi="Times New Roman" w:cs="Times New Roman"/>
          <w:kern w:val="0"/>
          <w:sz w:val="24"/>
          <w:szCs w:val="24"/>
          <w:lang w:val="en-GB"/>
        </w:rPr>
        <w:t xml:space="preserve">leads to </w:t>
      </w:r>
      <w:r w:rsidR="00D25FCE">
        <w:rPr>
          <w:rFonts w:ascii="Times New Roman" w:hAnsi="Times New Roman" w:cs="Times New Roman"/>
          <w:kern w:val="0"/>
          <w:sz w:val="24"/>
          <w:szCs w:val="24"/>
          <w:lang w:val="en-GB"/>
        </w:rPr>
        <w:t xml:space="preserve">about </w:t>
      </w:r>
      <w:r w:rsidRPr="00765279">
        <w:rPr>
          <w:rFonts w:ascii="Times New Roman" w:hAnsi="Times New Roman" w:cs="Times New Roman"/>
          <w:kern w:val="0"/>
          <w:sz w:val="24"/>
          <w:szCs w:val="24"/>
          <w:lang w:val="en-GB"/>
        </w:rPr>
        <w:t>2.5 new TBTs for fertilizers and pesticides</w:t>
      </w:r>
      <w:r w:rsidR="0029179F">
        <w:rPr>
          <w:rFonts w:ascii="Times New Roman" w:hAnsi="Times New Roman" w:cs="Times New Roman"/>
          <w:kern w:val="0"/>
          <w:sz w:val="24"/>
          <w:szCs w:val="24"/>
          <w:lang w:val="en-GB"/>
        </w:rPr>
        <w:t xml:space="preserve"> (columns 8 and 9)</w:t>
      </w:r>
      <w:r w:rsidRPr="00765279">
        <w:rPr>
          <w:rFonts w:ascii="Times New Roman" w:hAnsi="Times New Roman" w:cs="Times New Roman"/>
          <w:kern w:val="0"/>
          <w:sz w:val="24"/>
          <w:szCs w:val="24"/>
          <w:lang w:val="en-GB"/>
        </w:rPr>
        <w:t xml:space="preserve">. The coefficient of the variable </w:t>
      </w:r>
      <w:r w:rsidRPr="00765279">
        <w:rPr>
          <w:rFonts w:ascii="Times New Roman" w:hAnsi="Times New Roman" w:cs="Times New Roman"/>
          <w:i/>
          <w:iCs/>
          <w:kern w:val="0"/>
          <w:sz w:val="24"/>
          <w:szCs w:val="24"/>
          <w:lang w:val="en-GB"/>
        </w:rPr>
        <w:t>RTA1026</w:t>
      </w:r>
      <w:r w:rsidRPr="00765279">
        <w:rPr>
          <w:rFonts w:ascii="Times New Roman" w:hAnsi="Times New Roman" w:cs="Times New Roman"/>
          <w:kern w:val="0"/>
          <w:sz w:val="24"/>
          <w:szCs w:val="24"/>
          <w:lang w:val="en-GB"/>
        </w:rPr>
        <w:t xml:space="preserve"> </w:t>
      </w:r>
      <w:r w:rsidR="009E2F30" w:rsidRPr="00765279">
        <w:rPr>
          <w:rFonts w:ascii="Times New Roman" w:hAnsi="Times New Roman" w:cs="Times New Roman"/>
          <w:kern w:val="0"/>
          <w:sz w:val="24"/>
          <w:szCs w:val="24"/>
          <w:lang w:val="en-GB"/>
        </w:rPr>
        <w:t>i</w:t>
      </w:r>
      <w:r w:rsidRPr="00765279">
        <w:rPr>
          <w:rFonts w:ascii="Times New Roman" w:hAnsi="Times New Roman" w:cs="Times New Roman"/>
          <w:kern w:val="0"/>
          <w:sz w:val="24"/>
          <w:szCs w:val="24"/>
          <w:lang w:val="en-GB"/>
        </w:rPr>
        <w:t xml:space="preserve">s confirmed to be not </w:t>
      </w:r>
      <w:r w:rsidRPr="00765279">
        <w:rPr>
          <w:rFonts w:ascii="Times New Roman" w:eastAsia="Aptos" w:hAnsi="Times New Roman" w:cs="Times New Roman"/>
          <w:kern w:val="0"/>
          <w:sz w:val="24"/>
          <w:szCs w:val="24"/>
          <w:lang w:val="en-GB"/>
        </w:rPr>
        <w:t xml:space="preserve">significant. </w:t>
      </w:r>
      <w:r w:rsidRPr="00765279">
        <w:rPr>
          <w:rFonts w:ascii="Times New Roman" w:hAnsi="Times New Roman" w:cs="Times New Roman"/>
          <w:color w:val="000000" w:themeColor="text1"/>
          <w:kern w:val="0"/>
          <w:sz w:val="24"/>
          <w:szCs w:val="24"/>
          <w:lang w:val="en-GB"/>
        </w:rPr>
        <w:t xml:space="preserve">The coefficients of tariffs applied to fertilizers and pesticides are </w:t>
      </w:r>
      <w:r w:rsidR="00D25FCE">
        <w:rPr>
          <w:rFonts w:ascii="Times New Roman" w:hAnsi="Times New Roman" w:cs="Times New Roman"/>
          <w:color w:val="000000" w:themeColor="text1"/>
          <w:kern w:val="0"/>
          <w:sz w:val="24"/>
          <w:szCs w:val="24"/>
          <w:lang w:val="en-GB"/>
        </w:rPr>
        <w:t>barely</w:t>
      </w:r>
      <w:r w:rsidR="00D25FCE" w:rsidRPr="00765279">
        <w:rPr>
          <w:rFonts w:ascii="Times New Roman" w:hAnsi="Times New Roman" w:cs="Times New Roman"/>
          <w:color w:val="000000" w:themeColor="text1"/>
          <w:kern w:val="0"/>
          <w:sz w:val="24"/>
          <w:szCs w:val="24"/>
          <w:lang w:val="en-GB"/>
        </w:rPr>
        <w:t xml:space="preserve"> </w:t>
      </w:r>
      <w:r w:rsidRPr="00765279">
        <w:rPr>
          <w:rFonts w:ascii="Times New Roman" w:hAnsi="Times New Roman" w:cs="Times New Roman"/>
          <w:color w:val="000000" w:themeColor="text1"/>
          <w:kern w:val="0"/>
          <w:sz w:val="24"/>
          <w:szCs w:val="24"/>
          <w:lang w:val="en-GB"/>
        </w:rPr>
        <w:t>significant</w:t>
      </w:r>
      <w:r w:rsidR="0029179F">
        <w:rPr>
          <w:rFonts w:ascii="Times New Roman" w:hAnsi="Times New Roman" w:cs="Times New Roman"/>
          <w:color w:val="000000" w:themeColor="text1"/>
          <w:kern w:val="0"/>
          <w:sz w:val="24"/>
          <w:szCs w:val="24"/>
          <w:lang w:val="en-GB"/>
        </w:rPr>
        <w:t xml:space="preserve">, </w:t>
      </w:r>
      <w:r w:rsidRPr="00765279">
        <w:rPr>
          <w:rFonts w:ascii="Times New Roman" w:eastAsia="Aptos" w:hAnsi="Times New Roman" w:cs="Times New Roman"/>
          <w:color w:val="000000"/>
          <w:kern w:val="0"/>
          <w:sz w:val="24"/>
          <w:szCs w:val="24"/>
          <w:lang w:val="en-GB"/>
        </w:rPr>
        <w:t xml:space="preserve">while, as shown in Table 1, tariffs on agricultural trade exert a negative impact. The </w:t>
      </w:r>
      <w:r w:rsidRPr="00265EB1">
        <w:rPr>
          <w:rFonts w:ascii="Times New Roman" w:eastAsia="Aptos" w:hAnsi="Times New Roman" w:cs="Times New Roman"/>
          <w:i/>
          <w:iCs/>
          <w:color w:val="000000"/>
          <w:kern w:val="0"/>
          <w:sz w:val="24"/>
          <w:szCs w:val="24"/>
          <w:lang w:val="en-GB"/>
        </w:rPr>
        <w:t>EPI</w:t>
      </w:r>
      <w:r w:rsidRPr="00765279">
        <w:rPr>
          <w:rFonts w:ascii="Times New Roman" w:eastAsia="Aptos" w:hAnsi="Times New Roman" w:cs="Times New Roman"/>
          <w:color w:val="000000"/>
          <w:kern w:val="0"/>
          <w:sz w:val="24"/>
          <w:szCs w:val="24"/>
          <w:lang w:val="en-GB"/>
        </w:rPr>
        <w:t xml:space="preserve"> index </w:t>
      </w:r>
      <w:r w:rsidR="009E2F30" w:rsidRPr="00765279">
        <w:rPr>
          <w:rFonts w:ascii="Times New Roman" w:hAnsi="Times New Roman" w:cs="Times New Roman"/>
          <w:color w:val="000000" w:themeColor="text1"/>
          <w:kern w:val="0"/>
          <w:sz w:val="24"/>
          <w:szCs w:val="24"/>
          <w:lang w:val="en-GB"/>
        </w:rPr>
        <w:t>i</w:t>
      </w:r>
      <w:r w:rsidRPr="00765279">
        <w:rPr>
          <w:rFonts w:ascii="Times New Roman" w:hAnsi="Times New Roman" w:cs="Times New Roman"/>
          <w:color w:val="000000" w:themeColor="text1"/>
          <w:kern w:val="0"/>
          <w:sz w:val="24"/>
          <w:szCs w:val="24"/>
          <w:lang w:val="en-GB"/>
        </w:rPr>
        <w:t>s confirmed to positively affect TBT.</w:t>
      </w:r>
    </w:p>
    <w:p w14:paraId="1F9A7329" w14:textId="77701A77" w:rsidR="006344F9" w:rsidRDefault="00000000" w:rsidP="00804F9D">
      <w:pPr>
        <w:autoSpaceDE w:val="0"/>
        <w:autoSpaceDN w:val="0"/>
        <w:adjustRightInd w:val="0"/>
        <w:spacing w:before="120" w:line="276" w:lineRule="auto"/>
        <w:ind w:right="-1" w:firstLine="142"/>
        <w:jc w:val="both"/>
        <w:rPr>
          <w:rFonts w:ascii="Times New Roman" w:hAnsi="Times New Roman" w:cs="Times New Roman"/>
          <w:kern w:val="0"/>
          <w:lang w:val="en-GB"/>
        </w:rPr>
      </w:pPr>
      <w:r w:rsidRPr="00765279">
        <w:rPr>
          <w:rFonts w:ascii="Times New Roman" w:hAnsi="Times New Roman" w:cs="Times New Roman"/>
          <w:kern w:val="0"/>
          <w:lang w:val="en-GB"/>
        </w:rPr>
        <w:t>The SAR specification further improves the quality of estimates</w:t>
      </w:r>
      <w:r w:rsidR="00CA3A77" w:rsidRPr="00765279">
        <w:rPr>
          <w:rFonts w:ascii="Times New Roman" w:hAnsi="Times New Roman" w:cs="Times New Roman"/>
          <w:kern w:val="0"/>
          <w:lang w:val="en-GB"/>
        </w:rPr>
        <w:t>;</w:t>
      </w:r>
      <w:r w:rsidRPr="00765279">
        <w:rPr>
          <w:rFonts w:ascii="Times New Roman" w:hAnsi="Times New Roman" w:cs="Times New Roman"/>
          <w:kern w:val="0"/>
          <w:lang w:val="en-GB"/>
        </w:rPr>
        <w:t xml:space="preserve"> the weighted robust standard error estimator corrects the bias effects of serial and cross-correlation between countries. The null hypotheses of the residual dependence </w:t>
      </w:r>
      <w:r w:rsidRPr="00765279">
        <w:rPr>
          <w:rFonts w:ascii="Times New Roman" w:eastAsia="Aptos" w:hAnsi="Times New Roman" w:cs="Times New Roman"/>
          <w:kern w:val="0"/>
          <w:lang w:val="en-GB"/>
        </w:rPr>
        <w:t>across countries (LM test) and between countries (</w:t>
      </w:r>
      <w:proofErr w:type="spellStart"/>
      <w:r w:rsidRPr="00765279">
        <w:rPr>
          <w:rFonts w:ascii="Times New Roman" w:hAnsi="Times New Roman" w:cs="Times New Roman"/>
          <w:kern w:val="0"/>
          <w:lang w:val="en-GB"/>
        </w:rPr>
        <w:t>Pesaran</w:t>
      </w:r>
      <w:proofErr w:type="spellEnd"/>
      <w:r w:rsidRPr="00765279">
        <w:rPr>
          <w:rFonts w:ascii="Times New Roman" w:hAnsi="Times New Roman" w:cs="Times New Roman"/>
          <w:kern w:val="0"/>
          <w:lang w:val="en-GB"/>
        </w:rPr>
        <w:t xml:space="preserve"> CD test) cannot be rejected.</w:t>
      </w:r>
    </w:p>
    <w:p w14:paraId="3EE84E1B" w14:textId="0FA8E4B0" w:rsidR="00E94301" w:rsidRDefault="00E94301" w:rsidP="00E94301">
      <w:pPr>
        <w:autoSpaceDE w:val="0"/>
        <w:autoSpaceDN w:val="0"/>
        <w:adjustRightInd w:val="0"/>
        <w:spacing w:before="100" w:beforeAutospacing="1" w:line="276" w:lineRule="auto"/>
        <w:ind w:right="-1"/>
        <w:jc w:val="both"/>
        <w:rPr>
          <w:rFonts w:ascii="Times New Roman" w:hAnsi="Times New Roman" w:cs="Times New Roman"/>
          <w:kern w:val="0"/>
        </w:rPr>
      </w:pPr>
      <w:r w:rsidRPr="006A3CEF">
        <w:rPr>
          <w:rFonts w:ascii="Times New Roman" w:hAnsi="Times New Roman" w:cs="Times New Roman"/>
          <w:kern w:val="0"/>
          <w:lang w:val="en-GB"/>
        </w:rPr>
        <w:t xml:space="preserve">The results of </w:t>
      </w:r>
      <w:r w:rsidR="0050783E">
        <w:rPr>
          <w:rFonts w:ascii="Times New Roman" w:hAnsi="Times New Roman" w:cs="Times New Roman"/>
          <w:kern w:val="0"/>
          <w:lang w:val="en-GB"/>
        </w:rPr>
        <w:t>models</w:t>
      </w:r>
      <w:r w:rsidR="0050783E" w:rsidRPr="006A3CEF">
        <w:rPr>
          <w:rFonts w:ascii="Times New Roman" w:hAnsi="Times New Roman" w:cs="Times New Roman"/>
          <w:kern w:val="0"/>
          <w:lang w:val="en-GB"/>
        </w:rPr>
        <w:t xml:space="preserve"> </w:t>
      </w:r>
      <w:r>
        <w:rPr>
          <w:rFonts w:ascii="Times New Roman" w:hAnsi="Times New Roman" w:cs="Times New Roman"/>
          <w:kern w:val="0"/>
          <w:lang w:val="en-GB"/>
        </w:rPr>
        <w:t xml:space="preserve">3a) and 3b) are </w:t>
      </w:r>
      <w:r w:rsidRPr="006A3CEF">
        <w:rPr>
          <w:rFonts w:ascii="Times New Roman" w:hAnsi="Times New Roman" w:cs="Times New Roman"/>
          <w:kern w:val="0"/>
          <w:lang w:val="en-GB"/>
        </w:rPr>
        <w:t xml:space="preserve">reported in Table </w:t>
      </w:r>
      <w:r>
        <w:rPr>
          <w:rFonts w:ascii="Times New Roman" w:hAnsi="Times New Roman" w:cs="Times New Roman"/>
          <w:kern w:val="0"/>
          <w:lang w:val="en-GB"/>
        </w:rPr>
        <w:t>3,</w:t>
      </w:r>
      <w:r w:rsidRPr="006A3CEF">
        <w:rPr>
          <w:rFonts w:ascii="Times New Roman" w:hAnsi="Times New Roman" w:cs="Times New Roman"/>
          <w:kern w:val="0"/>
          <w:lang w:val="en-GB"/>
        </w:rPr>
        <w:t xml:space="preserve"> columns (1</w:t>
      </w:r>
      <w:r w:rsidR="0029179F">
        <w:rPr>
          <w:rFonts w:ascii="Times New Roman" w:hAnsi="Times New Roman" w:cs="Times New Roman"/>
          <w:kern w:val="0"/>
          <w:lang w:val="en-GB"/>
        </w:rPr>
        <w:t>0</w:t>
      </w:r>
      <w:r w:rsidRPr="006A3CEF">
        <w:rPr>
          <w:rFonts w:ascii="Times New Roman" w:hAnsi="Times New Roman" w:cs="Times New Roman"/>
          <w:kern w:val="0"/>
          <w:lang w:val="en-GB"/>
        </w:rPr>
        <w:t xml:space="preserve">) </w:t>
      </w:r>
      <w:r>
        <w:rPr>
          <w:rFonts w:ascii="Times New Roman" w:hAnsi="Times New Roman" w:cs="Times New Roman"/>
          <w:kern w:val="0"/>
          <w:lang w:val="en-GB"/>
        </w:rPr>
        <w:t>and</w:t>
      </w:r>
      <w:r w:rsidRPr="006A3CEF">
        <w:rPr>
          <w:rFonts w:ascii="Times New Roman" w:hAnsi="Times New Roman" w:cs="Times New Roman"/>
          <w:kern w:val="0"/>
          <w:lang w:val="en-GB"/>
        </w:rPr>
        <w:t xml:space="preserve"> (1</w:t>
      </w:r>
      <w:r w:rsidR="0029179F">
        <w:rPr>
          <w:rFonts w:ascii="Times New Roman" w:hAnsi="Times New Roman" w:cs="Times New Roman"/>
          <w:kern w:val="0"/>
          <w:lang w:val="en-GB"/>
        </w:rPr>
        <w:t>1</w:t>
      </w:r>
      <w:r w:rsidRPr="006A3CEF">
        <w:rPr>
          <w:rFonts w:ascii="Times New Roman" w:hAnsi="Times New Roman" w:cs="Times New Roman"/>
          <w:kern w:val="0"/>
          <w:lang w:val="en-GB"/>
        </w:rPr>
        <w:t>)</w:t>
      </w:r>
      <w:r w:rsidR="0029179F">
        <w:rPr>
          <w:rFonts w:ascii="Times New Roman" w:hAnsi="Times New Roman" w:cs="Times New Roman"/>
          <w:kern w:val="0"/>
          <w:lang w:val="en-GB"/>
        </w:rPr>
        <w:t>, respectively</w:t>
      </w:r>
      <w:r w:rsidRPr="006A3CEF">
        <w:rPr>
          <w:rFonts w:ascii="Times New Roman" w:hAnsi="Times New Roman" w:cs="Times New Roman"/>
          <w:kern w:val="0"/>
          <w:lang w:val="en-GB"/>
        </w:rPr>
        <w:t>.</w:t>
      </w:r>
    </w:p>
    <w:p w14:paraId="710940E4" w14:textId="4E6C4CDB" w:rsidR="00E94301" w:rsidRPr="005E5898" w:rsidRDefault="00E94301" w:rsidP="00E94301">
      <w:pPr>
        <w:autoSpaceDE w:val="0"/>
        <w:autoSpaceDN w:val="0"/>
        <w:adjustRightInd w:val="0"/>
        <w:spacing w:before="100" w:beforeAutospacing="1" w:line="276" w:lineRule="auto"/>
        <w:ind w:right="-1" w:firstLine="142"/>
        <w:jc w:val="both"/>
        <w:rPr>
          <w:rFonts w:ascii="Times New Roman" w:hAnsi="Times New Roman" w:cs="Times New Roman"/>
          <w:kern w:val="0"/>
        </w:rPr>
      </w:pPr>
      <w:r w:rsidRPr="005E5898">
        <w:rPr>
          <w:rFonts w:ascii="Times New Roman" w:hAnsi="Times New Roman" w:cs="Times New Roman"/>
          <w:kern w:val="0"/>
        </w:rPr>
        <w:t>Analyzing the</w:t>
      </w:r>
      <w:r>
        <w:rPr>
          <w:rFonts w:ascii="Times New Roman" w:hAnsi="Times New Roman" w:cs="Times New Roman"/>
          <w:kern w:val="0"/>
        </w:rPr>
        <w:t>se</w:t>
      </w:r>
      <w:r w:rsidRPr="005E5898">
        <w:rPr>
          <w:rFonts w:ascii="Times New Roman" w:hAnsi="Times New Roman" w:cs="Times New Roman"/>
          <w:kern w:val="0"/>
        </w:rPr>
        <w:t xml:space="preserve"> results</w:t>
      </w:r>
      <w:r w:rsidR="0050783E">
        <w:rPr>
          <w:rFonts w:ascii="Times New Roman" w:hAnsi="Times New Roman" w:cs="Times New Roman"/>
          <w:kern w:val="0"/>
        </w:rPr>
        <w:t>,</w:t>
      </w:r>
      <w:r w:rsidRPr="005E5898">
        <w:rPr>
          <w:rFonts w:ascii="Times New Roman" w:hAnsi="Times New Roman" w:cs="Times New Roman"/>
          <w:kern w:val="0"/>
        </w:rPr>
        <w:t xml:space="preserve"> important evidence emerges regarding the temporal and spatial </w:t>
      </w:r>
      <w:r w:rsidR="0050783E">
        <w:rPr>
          <w:rFonts w:ascii="Times New Roman" w:hAnsi="Times New Roman" w:cs="Times New Roman"/>
          <w:kern w:val="0"/>
        </w:rPr>
        <w:t>dimensions</w:t>
      </w:r>
      <w:r w:rsidR="0050783E" w:rsidRPr="005E5898">
        <w:rPr>
          <w:rFonts w:ascii="Times New Roman" w:hAnsi="Times New Roman" w:cs="Times New Roman"/>
          <w:kern w:val="0"/>
        </w:rPr>
        <w:t xml:space="preserve"> </w:t>
      </w:r>
      <w:r w:rsidRPr="005E5898">
        <w:rPr>
          <w:rFonts w:ascii="Times New Roman" w:hAnsi="Times New Roman" w:cs="Times New Roman"/>
          <w:kern w:val="0"/>
        </w:rPr>
        <w:t>of TBT diffusion.</w:t>
      </w:r>
      <w:r>
        <w:rPr>
          <w:rFonts w:ascii="Times New Roman" w:hAnsi="Times New Roman" w:cs="Times New Roman"/>
          <w:kern w:val="0"/>
        </w:rPr>
        <w:t xml:space="preserve"> The 3a)</w:t>
      </w:r>
      <w:r w:rsidRPr="005E5898">
        <w:rPr>
          <w:rFonts w:ascii="Times New Roman" w:hAnsi="Times New Roman" w:cs="Times New Roman"/>
          <w:kern w:val="0"/>
        </w:rPr>
        <w:t xml:space="preserve"> specification reveals strong temporal persistence in TBT measures, with a lagged dependent variable coefficient (</w:t>
      </w:r>
      <w:r w:rsidRPr="00054F3F">
        <w:rPr>
          <w:rFonts w:ascii="Times New Roman" w:hAnsi="Times New Roman" w:cs="Times New Roman"/>
          <w:i/>
          <w:iCs/>
          <w:kern w:val="0"/>
          <w:lang w:val="it-IT"/>
        </w:rPr>
        <w:t>δ</w:t>
      </w:r>
      <w:r w:rsidRPr="005E5898">
        <w:rPr>
          <w:rFonts w:ascii="Times New Roman" w:hAnsi="Times New Roman" w:cs="Times New Roman"/>
          <w:kern w:val="0"/>
        </w:rPr>
        <w:t>) significant</w:t>
      </w:r>
      <w:r w:rsidR="00D25FCE">
        <w:rPr>
          <w:rFonts w:ascii="Times New Roman" w:hAnsi="Times New Roman" w:cs="Times New Roman"/>
          <w:kern w:val="0"/>
        </w:rPr>
        <w:t xml:space="preserve"> at the 1% level</w:t>
      </w:r>
      <w:r w:rsidRPr="005E5898">
        <w:rPr>
          <w:rFonts w:ascii="Times New Roman" w:hAnsi="Times New Roman" w:cs="Times New Roman"/>
          <w:kern w:val="0"/>
        </w:rPr>
        <w:t>. This indicates that approximately 69% of TBTs from one period carry over to the next. The contemporaneous spatial lag coefficient (</w:t>
      </w:r>
      <w:r w:rsidRPr="00813948">
        <w:rPr>
          <w:rFonts w:ascii="Times New Roman" w:hAnsi="Times New Roman" w:cs="Times New Roman"/>
          <w:i/>
          <w:iCs/>
          <w:kern w:val="0"/>
          <w:lang w:val="it-IT"/>
        </w:rPr>
        <w:t>λ</w:t>
      </w:r>
      <w:r w:rsidRPr="005E5898">
        <w:rPr>
          <w:rFonts w:ascii="Times New Roman" w:hAnsi="Times New Roman" w:cs="Times New Roman"/>
          <w:kern w:val="0"/>
        </w:rPr>
        <w:t>) remains positive and significant, though smaller in magnitude compared to the static specifications. This reduction is expected, as part of the interdependence previously captured by the spatial term is now absorbed by the temporal dynamic component.</w:t>
      </w:r>
    </w:p>
    <w:p w14:paraId="0B0B57ED" w14:textId="314084FE" w:rsidR="00E94301" w:rsidRPr="005E5898" w:rsidRDefault="00E94301" w:rsidP="00E94301">
      <w:pPr>
        <w:autoSpaceDE w:val="0"/>
        <w:autoSpaceDN w:val="0"/>
        <w:adjustRightInd w:val="0"/>
        <w:spacing w:before="100" w:beforeAutospacing="1" w:line="276" w:lineRule="auto"/>
        <w:ind w:right="-1" w:firstLine="142"/>
        <w:jc w:val="both"/>
        <w:rPr>
          <w:rFonts w:ascii="Times New Roman" w:hAnsi="Times New Roman" w:cs="Times New Roman"/>
          <w:kern w:val="0"/>
        </w:rPr>
      </w:pPr>
      <w:r w:rsidRPr="005E5898">
        <w:rPr>
          <w:rFonts w:ascii="Times New Roman" w:hAnsi="Times New Roman" w:cs="Times New Roman"/>
          <w:kern w:val="0"/>
        </w:rPr>
        <w:t xml:space="preserve">The inclusion of the lagged spatial </w:t>
      </w:r>
      <w:r w:rsidR="000316C1">
        <w:rPr>
          <w:rFonts w:ascii="Times New Roman" w:hAnsi="Times New Roman" w:cs="Times New Roman"/>
          <w:kern w:val="0"/>
        </w:rPr>
        <w:t>(column 11)</w:t>
      </w:r>
      <w:r w:rsidR="000316C1" w:rsidRPr="005E5898">
        <w:rPr>
          <w:rFonts w:ascii="Times New Roman" w:hAnsi="Times New Roman" w:cs="Times New Roman"/>
          <w:kern w:val="0"/>
        </w:rPr>
        <w:t xml:space="preserve"> </w:t>
      </w:r>
      <w:r w:rsidRPr="005E5898">
        <w:rPr>
          <w:rFonts w:ascii="Times New Roman" w:hAnsi="Times New Roman" w:cs="Times New Roman"/>
          <w:kern w:val="0"/>
        </w:rPr>
        <w:t>term provides</w:t>
      </w:r>
      <w:r w:rsidR="000316C1">
        <w:rPr>
          <w:rFonts w:ascii="Times New Roman" w:hAnsi="Times New Roman" w:cs="Times New Roman"/>
          <w:kern w:val="0"/>
        </w:rPr>
        <w:t xml:space="preserve"> </w:t>
      </w:r>
      <w:r w:rsidRPr="005E5898">
        <w:rPr>
          <w:rFonts w:ascii="Times New Roman" w:hAnsi="Times New Roman" w:cs="Times New Roman"/>
          <w:kern w:val="0"/>
        </w:rPr>
        <w:t xml:space="preserve">a more nuanced understanding of diffusion mechanisms. </w:t>
      </w:r>
      <w:r w:rsidR="00E259DE">
        <w:rPr>
          <w:rFonts w:ascii="Times New Roman" w:hAnsi="Times New Roman" w:cs="Times New Roman"/>
          <w:kern w:val="0"/>
        </w:rPr>
        <w:t>Both t</w:t>
      </w:r>
      <w:r w:rsidRPr="005E5898">
        <w:rPr>
          <w:rFonts w:ascii="Times New Roman" w:hAnsi="Times New Roman" w:cs="Times New Roman"/>
          <w:kern w:val="0"/>
        </w:rPr>
        <w:t>he temporal lag coefficient (</w:t>
      </w:r>
      <w:r w:rsidRPr="00813948">
        <w:rPr>
          <w:rFonts w:ascii="Times New Roman" w:hAnsi="Times New Roman" w:cs="Times New Roman"/>
          <w:i/>
          <w:iCs/>
          <w:kern w:val="0"/>
          <w:lang w:val="it-IT"/>
        </w:rPr>
        <w:t>δ</w:t>
      </w:r>
      <w:r w:rsidRPr="005E5898">
        <w:rPr>
          <w:rFonts w:ascii="Times New Roman" w:hAnsi="Times New Roman" w:cs="Times New Roman"/>
          <w:kern w:val="0"/>
        </w:rPr>
        <w:t xml:space="preserve">) </w:t>
      </w:r>
      <w:r w:rsidR="00E259DE">
        <w:rPr>
          <w:rFonts w:ascii="Times New Roman" w:hAnsi="Times New Roman" w:cs="Times New Roman"/>
          <w:kern w:val="0"/>
        </w:rPr>
        <w:t xml:space="preserve">and </w:t>
      </w:r>
      <w:r w:rsidRPr="005E5898">
        <w:rPr>
          <w:rFonts w:ascii="Times New Roman" w:hAnsi="Times New Roman" w:cs="Times New Roman"/>
          <w:kern w:val="0"/>
        </w:rPr>
        <w:t xml:space="preserve">the </w:t>
      </w:r>
      <w:r w:rsidR="00E259DE">
        <w:rPr>
          <w:rFonts w:ascii="Times New Roman" w:hAnsi="Times New Roman" w:cs="Times New Roman"/>
          <w:kern w:val="0"/>
        </w:rPr>
        <w:t>lagged</w:t>
      </w:r>
      <w:r w:rsidRPr="005E5898">
        <w:rPr>
          <w:rFonts w:ascii="Times New Roman" w:hAnsi="Times New Roman" w:cs="Times New Roman"/>
          <w:kern w:val="0"/>
        </w:rPr>
        <w:t xml:space="preserve"> spatial coefficient (</w:t>
      </w:r>
      <w:r w:rsidRPr="00813948">
        <w:rPr>
          <w:rFonts w:ascii="Times New Roman" w:hAnsi="Times New Roman" w:cs="Times New Roman"/>
          <w:i/>
          <w:iCs/>
          <w:kern w:val="0"/>
          <w:lang w:val="it-IT"/>
        </w:rPr>
        <w:t>λ</w:t>
      </w:r>
      <w:r w:rsidRPr="005E5898">
        <w:rPr>
          <w:rFonts w:ascii="Times New Roman" w:hAnsi="Times New Roman" w:cs="Times New Roman"/>
          <w:kern w:val="0"/>
        </w:rPr>
        <w:t xml:space="preserve">) </w:t>
      </w:r>
      <w:r w:rsidR="00E259DE">
        <w:rPr>
          <w:rFonts w:ascii="Times New Roman" w:hAnsi="Times New Roman" w:cs="Times New Roman"/>
          <w:kern w:val="0"/>
        </w:rPr>
        <w:t>are significant at the 1% level,</w:t>
      </w:r>
      <w:r w:rsidRPr="005E5898">
        <w:rPr>
          <w:rFonts w:ascii="Times New Roman" w:hAnsi="Times New Roman" w:cs="Times New Roman"/>
          <w:kern w:val="0"/>
        </w:rPr>
        <w:t xml:space="preserve"> suggest</w:t>
      </w:r>
      <w:r w:rsidR="00E259DE">
        <w:rPr>
          <w:rFonts w:ascii="Times New Roman" w:hAnsi="Times New Roman" w:cs="Times New Roman"/>
          <w:kern w:val="0"/>
        </w:rPr>
        <w:t>ing</w:t>
      </w:r>
      <w:r w:rsidRPr="005E5898">
        <w:rPr>
          <w:rFonts w:ascii="Times New Roman" w:hAnsi="Times New Roman" w:cs="Times New Roman"/>
          <w:kern w:val="0"/>
        </w:rPr>
        <w:t xml:space="preserve"> a gradual learning and adaptation process to partners' regulations.</w:t>
      </w:r>
    </w:p>
    <w:p w14:paraId="4D38E48E" w14:textId="7458B2DD" w:rsidR="00E94301" w:rsidRPr="00087ECD" w:rsidRDefault="00E94301" w:rsidP="00E94301">
      <w:pPr>
        <w:pStyle w:val="Testocommento"/>
        <w:spacing w:line="276" w:lineRule="auto"/>
        <w:ind w:right="-1" w:firstLine="142"/>
        <w:jc w:val="both"/>
        <w:rPr>
          <w:rFonts w:ascii="Times New Roman" w:hAnsi="Times New Roman" w:cs="Times New Roman"/>
          <w:kern w:val="0"/>
          <w:sz w:val="24"/>
          <w:szCs w:val="24"/>
        </w:rPr>
      </w:pPr>
      <w:r w:rsidRPr="005E5898">
        <w:rPr>
          <w:rFonts w:ascii="Times New Roman" w:hAnsi="Times New Roman" w:cs="Times New Roman"/>
          <w:kern w:val="0"/>
          <w:sz w:val="24"/>
          <w:szCs w:val="24"/>
        </w:rPr>
        <w:t xml:space="preserve">In both dynamic specifications, the </w:t>
      </w:r>
      <w:r w:rsidRPr="004C02FB">
        <w:rPr>
          <w:rFonts w:ascii="Times New Roman" w:hAnsi="Times New Roman" w:cs="Times New Roman"/>
          <w:i/>
          <w:iCs/>
          <w:kern w:val="0"/>
          <w:sz w:val="24"/>
          <w:szCs w:val="24"/>
        </w:rPr>
        <w:t>RTA1025</w:t>
      </w:r>
      <w:r w:rsidRPr="005E5898">
        <w:rPr>
          <w:rFonts w:ascii="Times New Roman" w:hAnsi="Times New Roman" w:cs="Times New Roman"/>
          <w:kern w:val="0"/>
          <w:sz w:val="24"/>
          <w:szCs w:val="24"/>
        </w:rPr>
        <w:t xml:space="preserve"> coefficient maintains its positive sign and statistical significance, confirming that trade agreements with environmental provisions stimulate TBT adoption even when controlling for temporal and spatial dynamics. </w:t>
      </w:r>
      <w:r w:rsidRPr="00087ECD">
        <w:rPr>
          <w:rFonts w:ascii="Times New Roman" w:hAnsi="Times New Roman" w:cs="Times New Roman"/>
          <w:kern w:val="0"/>
          <w:sz w:val="24"/>
          <w:szCs w:val="24"/>
        </w:rPr>
        <w:t xml:space="preserve">The coefficient of the variable </w:t>
      </w:r>
      <w:r w:rsidRPr="00E259DE">
        <w:rPr>
          <w:rFonts w:ascii="Times New Roman" w:hAnsi="Times New Roman" w:cs="Times New Roman"/>
          <w:i/>
          <w:iCs/>
          <w:kern w:val="0"/>
          <w:sz w:val="24"/>
          <w:szCs w:val="24"/>
        </w:rPr>
        <w:lastRenderedPageBreak/>
        <w:t>RTA1026</w:t>
      </w:r>
      <w:r w:rsidRPr="00087ECD">
        <w:rPr>
          <w:rFonts w:ascii="Times New Roman" w:hAnsi="Times New Roman" w:cs="Times New Roman"/>
          <w:kern w:val="0"/>
          <w:sz w:val="24"/>
          <w:szCs w:val="24"/>
        </w:rPr>
        <w:t xml:space="preserve"> is confirmed to be not significant</w:t>
      </w:r>
      <w:r>
        <w:rPr>
          <w:rFonts w:ascii="Times New Roman" w:hAnsi="Times New Roman" w:cs="Times New Roman"/>
          <w:kern w:val="0"/>
          <w:sz w:val="24"/>
          <w:szCs w:val="24"/>
        </w:rPr>
        <w:t xml:space="preserve"> as t</w:t>
      </w:r>
      <w:r w:rsidRPr="00087ECD">
        <w:rPr>
          <w:rFonts w:ascii="Times New Roman" w:hAnsi="Times New Roman" w:cs="Times New Roman"/>
          <w:kern w:val="0"/>
          <w:sz w:val="24"/>
          <w:szCs w:val="24"/>
        </w:rPr>
        <w:t>he coefficients of tariffs applied to fertilizers</w:t>
      </w:r>
      <w:r>
        <w:rPr>
          <w:rFonts w:ascii="Times New Roman" w:hAnsi="Times New Roman" w:cs="Times New Roman"/>
          <w:kern w:val="0"/>
          <w:sz w:val="24"/>
          <w:szCs w:val="24"/>
        </w:rPr>
        <w:t xml:space="preserve">. </w:t>
      </w:r>
      <w:r w:rsidRPr="00087ECD">
        <w:rPr>
          <w:rFonts w:ascii="Times New Roman" w:hAnsi="Times New Roman" w:cs="Times New Roman"/>
          <w:kern w:val="0"/>
          <w:sz w:val="24"/>
          <w:szCs w:val="24"/>
        </w:rPr>
        <w:t xml:space="preserve">The </w:t>
      </w:r>
      <w:r w:rsidRPr="004466BD">
        <w:rPr>
          <w:rFonts w:ascii="Times New Roman" w:hAnsi="Times New Roman" w:cs="Times New Roman"/>
          <w:i/>
          <w:iCs/>
          <w:kern w:val="0"/>
          <w:sz w:val="24"/>
          <w:szCs w:val="24"/>
        </w:rPr>
        <w:t>EPI</w:t>
      </w:r>
      <w:r w:rsidRPr="00087ECD">
        <w:rPr>
          <w:rFonts w:ascii="Times New Roman" w:hAnsi="Times New Roman" w:cs="Times New Roman"/>
          <w:kern w:val="0"/>
          <w:sz w:val="24"/>
          <w:szCs w:val="24"/>
        </w:rPr>
        <w:t xml:space="preserve"> index is confirmed to positively affect TBT.</w:t>
      </w:r>
    </w:p>
    <w:p w14:paraId="1AA5040A" w14:textId="07BD5CA4" w:rsidR="00E94301" w:rsidRPr="005E5898" w:rsidRDefault="00E94301" w:rsidP="00E94301">
      <w:pPr>
        <w:autoSpaceDE w:val="0"/>
        <w:autoSpaceDN w:val="0"/>
        <w:adjustRightInd w:val="0"/>
        <w:spacing w:before="100" w:beforeAutospacing="1" w:line="276" w:lineRule="auto"/>
        <w:ind w:right="-1" w:firstLine="142"/>
        <w:jc w:val="both"/>
        <w:rPr>
          <w:rFonts w:ascii="Times New Roman" w:hAnsi="Times New Roman" w:cs="Times New Roman"/>
          <w:kern w:val="0"/>
        </w:rPr>
      </w:pPr>
      <w:r w:rsidRPr="005E5898">
        <w:rPr>
          <w:rFonts w:ascii="Times New Roman" w:hAnsi="Times New Roman" w:cs="Times New Roman"/>
          <w:kern w:val="0"/>
        </w:rPr>
        <w:t>The diagnostic tests (</w:t>
      </w:r>
      <w:proofErr w:type="spellStart"/>
      <w:r w:rsidRPr="005E5898">
        <w:rPr>
          <w:rFonts w:ascii="Times New Roman" w:hAnsi="Times New Roman" w:cs="Times New Roman"/>
          <w:kern w:val="0"/>
        </w:rPr>
        <w:t>Pesaran</w:t>
      </w:r>
      <w:proofErr w:type="spellEnd"/>
      <w:r w:rsidRPr="005E5898">
        <w:rPr>
          <w:rFonts w:ascii="Times New Roman" w:hAnsi="Times New Roman" w:cs="Times New Roman"/>
          <w:kern w:val="0"/>
        </w:rPr>
        <w:t xml:space="preserve"> CD test with </w:t>
      </w:r>
      <w:r w:rsidRPr="004466BD">
        <w:rPr>
          <w:rFonts w:ascii="Times New Roman" w:hAnsi="Times New Roman" w:cs="Times New Roman"/>
          <w:i/>
          <w:iCs/>
          <w:kern w:val="0"/>
        </w:rPr>
        <w:t>p-values</w:t>
      </w:r>
      <w:r w:rsidRPr="005E5898">
        <w:rPr>
          <w:rFonts w:ascii="Times New Roman" w:hAnsi="Times New Roman" w:cs="Times New Roman"/>
          <w:kern w:val="0"/>
        </w:rPr>
        <w:t xml:space="preserve"> of 0.688 and 0.639 respectively) fail to reject the null hypothesis of no cross-sectional dependence in residuals, indicating that specifications </w:t>
      </w:r>
      <w:r w:rsidR="00D43AAC">
        <w:rPr>
          <w:rFonts w:ascii="Times New Roman" w:hAnsi="Times New Roman" w:cs="Times New Roman"/>
          <w:kern w:val="0"/>
        </w:rPr>
        <w:t xml:space="preserve">3a) and 3b) </w:t>
      </w:r>
      <w:r w:rsidRPr="005E5898">
        <w:rPr>
          <w:rFonts w:ascii="Times New Roman" w:hAnsi="Times New Roman" w:cs="Times New Roman"/>
          <w:kern w:val="0"/>
        </w:rPr>
        <w:t>adequately capture both temporal and spatial interdependencies, substantially improving estimate quality compared to static models.</w:t>
      </w:r>
      <w:r>
        <w:rPr>
          <w:rFonts w:ascii="Times New Roman" w:hAnsi="Times New Roman" w:cs="Times New Roman"/>
          <w:kern w:val="0"/>
        </w:rPr>
        <w:t xml:space="preserve"> </w:t>
      </w:r>
      <w:r w:rsidRPr="005E5898">
        <w:rPr>
          <w:rFonts w:ascii="Times New Roman" w:hAnsi="Times New Roman" w:cs="Times New Roman"/>
          <w:kern w:val="0"/>
        </w:rPr>
        <w:t>These results confirm the importance of jointly considering temporal and spatial dimensions in the diffusion of environmental trade policies, highlighting how regulatory decisions are influenced both by domestic path dependency and by regulatory convergence processes with trading partners.</w:t>
      </w:r>
    </w:p>
    <w:p w14:paraId="0340B2C8" w14:textId="03FB9217" w:rsidR="006344F9" w:rsidRPr="00765279" w:rsidRDefault="00000000" w:rsidP="00804F9D">
      <w:pPr>
        <w:autoSpaceDE w:val="0"/>
        <w:autoSpaceDN w:val="0"/>
        <w:adjustRightInd w:val="0"/>
        <w:spacing w:before="120" w:line="276" w:lineRule="auto"/>
        <w:ind w:firstLine="142"/>
        <w:jc w:val="both"/>
        <w:rPr>
          <w:rFonts w:ascii="Times New Roman" w:hAnsi="Times New Roman" w:cs="Times New Roman"/>
          <w:kern w:val="0"/>
          <w:lang w:val="en-GB"/>
        </w:rPr>
      </w:pPr>
      <w:r w:rsidRPr="00765279">
        <w:rPr>
          <w:rFonts w:ascii="Times New Roman" w:hAnsi="Times New Roman" w:cs="Times New Roman"/>
          <w:kern w:val="0"/>
          <w:lang w:val="en-GB"/>
        </w:rPr>
        <w:t xml:space="preserve">For </w:t>
      </w:r>
      <w:r w:rsidRPr="00765279">
        <w:rPr>
          <w:rFonts w:ascii="Times New Roman" w:eastAsia="Aptos" w:hAnsi="Times New Roman" w:cs="Times New Roman"/>
          <w:kern w:val="0"/>
          <w:lang w:val="en-GB"/>
        </w:rPr>
        <w:t xml:space="preserve">the </w:t>
      </w:r>
      <w:r w:rsidRPr="00765279">
        <w:rPr>
          <w:rFonts w:ascii="Times New Roman" w:hAnsi="Times New Roman" w:cs="Times New Roman"/>
          <w:kern w:val="0"/>
          <w:lang w:val="en-GB"/>
        </w:rPr>
        <w:t>robustness check</w:t>
      </w:r>
      <w:r w:rsidRPr="00765279">
        <w:rPr>
          <w:rFonts w:ascii="Times New Roman" w:eastAsia="Aptos" w:hAnsi="Times New Roman" w:cs="Times New Roman"/>
          <w:kern w:val="0"/>
          <w:lang w:val="en-GB"/>
        </w:rPr>
        <w:t xml:space="preserve">, </w:t>
      </w:r>
      <w:r w:rsidRPr="00765279">
        <w:rPr>
          <w:rFonts w:ascii="Times New Roman" w:hAnsi="Times New Roman" w:cs="Times New Roman"/>
          <w:kern w:val="0"/>
          <w:lang w:val="en-GB"/>
        </w:rPr>
        <w:t xml:space="preserve">we estimate </w:t>
      </w:r>
      <w:r w:rsidR="00CA3A77" w:rsidRPr="00765279">
        <w:rPr>
          <w:rFonts w:ascii="Times New Roman" w:hAnsi="Times New Roman" w:cs="Times New Roman"/>
          <w:kern w:val="0"/>
          <w:lang w:val="en-GB"/>
        </w:rPr>
        <w:t>Equation</w:t>
      </w:r>
      <w:r w:rsidRPr="00765279">
        <w:rPr>
          <w:rFonts w:ascii="Times New Roman" w:hAnsi="Times New Roman" w:cs="Times New Roman"/>
          <w:kern w:val="0"/>
          <w:lang w:val="en-GB"/>
        </w:rPr>
        <w:t xml:space="preserve"> (3) for the entire sample using a spatial matrix instead of the proximity matrix. The </w:t>
      </w:r>
      <w:proofErr w:type="spellStart"/>
      <w:r w:rsidRPr="00765279">
        <w:rPr>
          <w:rFonts w:ascii="Times New Roman" w:hAnsi="Times New Roman" w:cs="Times New Roman"/>
          <w:i/>
          <w:iCs/>
          <w:kern w:val="0"/>
          <w:lang w:val="en-GB"/>
        </w:rPr>
        <w:t>Wsp</w:t>
      </w:r>
      <w:proofErr w:type="spellEnd"/>
      <w:r w:rsidRPr="00765279">
        <w:rPr>
          <w:rFonts w:ascii="Times New Roman" w:hAnsi="Times New Roman" w:cs="Times New Roman"/>
          <w:kern w:val="0"/>
          <w:lang w:val="en-GB"/>
        </w:rPr>
        <w:t xml:space="preserve"> spatial matrix </w:t>
      </w:r>
      <w:r w:rsidR="00CA3A77" w:rsidRPr="00765279">
        <w:rPr>
          <w:rFonts w:ascii="Times New Roman" w:hAnsi="Times New Roman" w:cs="Times New Roman"/>
          <w:kern w:val="0"/>
          <w:lang w:val="en-GB"/>
        </w:rPr>
        <w:t>is</w:t>
      </w:r>
      <w:r w:rsidRPr="00765279">
        <w:rPr>
          <w:rFonts w:ascii="Times New Roman" w:hAnsi="Times New Roman" w:cs="Times New Roman"/>
          <w:kern w:val="0"/>
          <w:lang w:val="en-GB"/>
        </w:rPr>
        <w:t xml:space="preserve"> constructed by applying the simple contiguity method</w:t>
      </w:r>
      <w:r w:rsidRPr="00765279">
        <w:rPr>
          <w:rFonts w:ascii="Times New Roman" w:eastAsia="Aptos" w:hAnsi="Times New Roman" w:cs="Times New Roman"/>
          <w:kern w:val="0"/>
          <w:lang w:val="en-GB"/>
        </w:rPr>
        <w:t xml:space="preserve"> which sets </w:t>
      </w:r>
      <w:r w:rsidRPr="00765279">
        <w:rPr>
          <w:rFonts w:ascii="Times New Roman" w:hAnsi="Times New Roman" w:cs="Times New Roman"/>
          <w:kern w:val="0"/>
          <w:lang w:val="en-GB"/>
        </w:rPr>
        <w:t xml:space="preserve">that the generic </w:t>
      </w:r>
      <w:proofErr w:type="spellStart"/>
      <w:r w:rsidRPr="00765279">
        <w:rPr>
          <w:rFonts w:ascii="Times New Roman" w:hAnsi="Times New Roman" w:cs="Times New Roman"/>
          <w:i/>
          <w:iCs/>
          <w:kern w:val="0"/>
          <w:lang w:val="en-GB"/>
        </w:rPr>
        <w:t>w</w:t>
      </w:r>
      <w:r w:rsidRPr="00765279">
        <w:rPr>
          <w:rFonts w:ascii="Times New Roman" w:hAnsi="Times New Roman" w:cs="Times New Roman"/>
          <w:i/>
          <w:iCs/>
          <w:kern w:val="0"/>
          <w:vertAlign w:val="subscript"/>
          <w:lang w:val="en-GB"/>
        </w:rPr>
        <w:t>ij</w:t>
      </w:r>
      <w:proofErr w:type="spellEnd"/>
      <w:r w:rsidRPr="00765279">
        <w:rPr>
          <w:rFonts w:ascii="Times New Roman" w:hAnsi="Times New Roman" w:cs="Times New Roman"/>
          <w:kern w:val="0"/>
          <w:vertAlign w:val="subscript"/>
          <w:lang w:val="en-GB"/>
        </w:rPr>
        <w:t xml:space="preserve"> </w:t>
      </w:r>
      <w:r w:rsidRPr="00765279">
        <w:rPr>
          <w:rFonts w:ascii="Times New Roman" w:hAnsi="Times New Roman" w:cs="Times New Roman"/>
          <w:kern w:val="0"/>
          <w:lang w:val="en-GB"/>
        </w:rPr>
        <w:t xml:space="preserve">weight of the matrix is 1 if countries </w:t>
      </w:r>
      <w:proofErr w:type="spellStart"/>
      <w:r w:rsidRPr="00765279">
        <w:rPr>
          <w:rFonts w:ascii="Times New Roman" w:hAnsi="Times New Roman" w:cs="Times New Roman"/>
          <w:i/>
          <w:iCs/>
          <w:kern w:val="0"/>
          <w:lang w:val="en-GB"/>
        </w:rPr>
        <w:t>i</w:t>
      </w:r>
      <w:proofErr w:type="spellEnd"/>
      <w:r w:rsidRPr="00765279">
        <w:rPr>
          <w:rFonts w:ascii="Times New Roman" w:hAnsi="Times New Roman" w:cs="Times New Roman"/>
          <w:kern w:val="0"/>
          <w:lang w:val="en-GB"/>
        </w:rPr>
        <w:t xml:space="preserve"> and </w:t>
      </w:r>
      <w:r w:rsidRPr="00765279">
        <w:rPr>
          <w:rFonts w:ascii="Times New Roman" w:hAnsi="Times New Roman" w:cs="Times New Roman"/>
          <w:i/>
          <w:iCs/>
          <w:kern w:val="0"/>
          <w:lang w:val="en-GB"/>
        </w:rPr>
        <w:t>j</w:t>
      </w:r>
      <w:r w:rsidRPr="00765279">
        <w:rPr>
          <w:rFonts w:ascii="Times New Roman" w:hAnsi="Times New Roman" w:cs="Times New Roman"/>
          <w:kern w:val="0"/>
          <w:lang w:val="en-GB"/>
        </w:rPr>
        <w:t xml:space="preserve"> have a common boundary, </w:t>
      </w:r>
      <w:r w:rsidRPr="00765279">
        <w:rPr>
          <w:rFonts w:ascii="Times New Roman" w:eastAsia="Aptos" w:hAnsi="Times New Roman" w:cs="Times New Roman"/>
          <w:kern w:val="0"/>
          <w:lang w:val="en-GB"/>
        </w:rPr>
        <w:t xml:space="preserve">0 otherwise. </w:t>
      </w:r>
      <w:r w:rsidRPr="00765279">
        <w:rPr>
          <w:rFonts w:ascii="Times New Roman" w:hAnsi="Times New Roman" w:cs="Times New Roman"/>
          <w:kern w:val="0"/>
          <w:lang w:val="en-GB"/>
        </w:rPr>
        <w:t>In the spatial case</w:t>
      </w:r>
      <w:r w:rsidRPr="00765279">
        <w:rPr>
          <w:rFonts w:ascii="Times New Roman" w:eastAsia="Aptos" w:hAnsi="Times New Roman" w:cs="Times New Roman"/>
          <w:kern w:val="0"/>
          <w:lang w:val="en-GB"/>
        </w:rPr>
        <w:t xml:space="preserve"> </w:t>
      </w:r>
      <w:proofErr w:type="spellStart"/>
      <w:r w:rsidRPr="00765279">
        <w:rPr>
          <w:rFonts w:ascii="Times New Roman" w:hAnsi="Times New Roman" w:cs="Times New Roman"/>
          <w:i/>
          <w:iCs/>
          <w:kern w:val="0"/>
          <w:lang w:val="en-GB"/>
        </w:rPr>
        <w:t>Wsp</w:t>
      </w:r>
      <w:proofErr w:type="spellEnd"/>
      <w:r w:rsidRPr="00765279">
        <w:rPr>
          <w:rFonts w:ascii="Times New Roman" w:hAnsi="Times New Roman" w:cs="Times New Roman"/>
          <w:kern w:val="0"/>
          <w:lang w:val="en-GB"/>
        </w:rPr>
        <w:t xml:space="preserve"> is a non-negative </w:t>
      </w:r>
      <w:r w:rsidRPr="00765279">
        <w:rPr>
          <w:rFonts w:ascii="Times New Roman" w:hAnsi="Times New Roman" w:cs="Times New Roman"/>
          <w:i/>
          <w:iCs/>
          <w:kern w:val="0"/>
          <w:lang w:val="en-GB"/>
        </w:rPr>
        <w:t>N × N</w:t>
      </w:r>
      <w:r w:rsidRPr="00765279">
        <w:rPr>
          <w:rFonts w:ascii="Times New Roman" w:hAnsi="Times New Roman" w:cs="Times New Roman"/>
          <w:kern w:val="0"/>
          <w:lang w:val="en-GB"/>
        </w:rPr>
        <w:t xml:space="preserve"> matrix (where </w:t>
      </w:r>
      <w:r w:rsidRPr="00765279">
        <w:rPr>
          <w:rFonts w:ascii="Times New Roman" w:hAnsi="Times New Roman" w:cs="Times New Roman"/>
          <w:i/>
          <w:iCs/>
          <w:kern w:val="0"/>
          <w:lang w:val="en-GB"/>
        </w:rPr>
        <w:t>N</w:t>
      </w:r>
      <w:r w:rsidRPr="00765279">
        <w:rPr>
          <w:rFonts w:ascii="Times New Roman" w:hAnsi="Times New Roman" w:cs="Times New Roman"/>
          <w:kern w:val="0"/>
          <w:lang w:val="en-GB"/>
        </w:rPr>
        <w:t xml:space="preserve"> is the number of countries) of known constants as well. The non-zero element </w:t>
      </w:r>
      <w:proofErr w:type="spellStart"/>
      <w:r w:rsidRPr="00765279">
        <w:rPr>
          <w:rFonts w:ascii="Times New Roman" w:hAnsi="Times New Roman" w:cs="Times New Roman"/>
          <w:i/>
          <w:iCs/>
          <w:kern w:val="0"/>
          <w:lang w:val="en-GB"/>
        </w:rPr>
        <w:t>w</w:t>
      </w:r>
      <w:r w:rsidRPr="00765279">
        <w:rPr>
          <w:rFonts w:ascii="Times New Roman" w:hAnsi="Times New Roman" w:cs="Times New Roman"/>
          <w:i/>
          <w:iCs/>
          <w:kern w:val="0"/>
          <w:vertAlign w:val="subscript"/>
          <w:lang w:val="en-GB"/>
        </w:rPr>
        <w:t>ij</w:t>
      </w:r>
      <w:proofErr w:type="spellEnd"/>
      <w:r w:rsidRPr="00765279">
        <w:rPr>
          <w:rFonts w:ascii="Times New Roman" w:hAnsi="Times New Roman" w:cs="Times New Roman"/>
          <w:kern w:val="0"/>
          <w:lang w:val="en-GB"/>
        </w:rPr>
        <w:t xml:space="preserve"> specifies the presence of a common boundary indicating whether two countries can be considered neighbours. The diagonal elements </w:t>
      </w:r>
      <w:proofErr w:type="spellStart"/>
      <w:r w:rsidRPr="00765279">
        <w:rPr>
          <w:rFonts w:ascii="Times New Roman" w:hAnsi="Times New Roman" w:cs="Times New Roman"/>
          <w:i/>
          <w:iCs/>
          <w:kern w:val="0"/>
          <w:lang w:val="en-GB"/>
        </w:rPr>
        <w:t>w</w:t>
      </w:r>
      <w:r w:rsidRPr="00765279">
        <w:rPr>
          <w:rFonts w:ascii="Times New Roman" w:hAnsi="Times New Roman" w:cs="Times New Roman"/>
          <w:i/>
          <w:iCs/>
          <w:kern w:val="0"/>
          <w:vertAlign w:val="subscript"/>
          <w:lang w:val="en-GB"/>
        </w:rPr>
        <w:t>ii</w:t>
      </w:r>
      <w:proofErr w:type="spellEnd"/>
      <w:r w:rsidRPr="00765279">
        <w:rPr>
          <w:rFonts w:ascii="Times New Roman" w:hAnsi="Times New Roman" w:cs="Times New Roman"/>
          <w:kern w:val="0"/>
          <w:lang w:val="en-GB"/>
        </w:rPr>
        <w:t xml:space="preserve"> are all set to 0 to exclude self-neighbours by convention. Moreover, it is not symmetric, and it is used in a row-standardized form. The </w:t>
      </w:r>
      <w:proofErr w:type="spellStart"/>
      <w:r w:rsidRPr="00765279">
        <w:rPr>
          <w:rFonts w:ascii="Times New Roman" w:hAnsi="Times New Roman" w:cs="Times New Roman"/>
          <w:i/>
          <w:iCs/>
          <w:kern w:val="0"/>
          <w:lang w:val="en-GB"/>
        </w:rPr>
        <w:t>Wsp</w:t>
      </w:r>
      <w:proofErr w:type="spellEnd"/>
      <w:r w:rsidRPr="00765279">
        <w:rPr>
          <w:rFonts w:ascii="Times New Roman" w:hAnsi="Times New Roman" w:cs="Times New Roman"/>
          <w:kern w:val="0"/>
          <w:lang w:val="en-GB"/>
        </w:rPr>
        <w:t xml:space="preserve"> row corresponding to Finland, for example, has only three nonzero weights, corresponding to Norway, Sweden, and Russia, the neighbouring countries. Obviously, the three non-zero weights are all equal to 0.33. </w:t>
      </w:r>
      <w:r w:rsidRPr="00765279">
        <w:rPr>
          <w:rFonts w:ascii="Times New Roman" w:eastAsia="Aptos" w:hAnsi="Times New Roman" w:cs="Times New Roman"/>
          <w:kern w:val="0"/>
          <w:lang w:val="en-GB"/>
        </w:rPr>
        <w:t xml:space="preserve">The </w:t>
      </w:r>
      <w:r w:rsidRPr="00765279">
        <w:rPr>
          <w:rFonts w:ascii="Times New Roman" w:hAnsi="Times New Roman" w:cs="Times New Roman"/>
          <w:kern w:val="0"/>
          <w:lang w:val="en-GB"/>
        </w:rPr>
        <w:t>results of this estimation, reported in Column 1</w:t>
      </w:r>
      <w:r w:rsidR="00503E9D">
        <w:rPr>
          <w:rFonts w:ascii="Times New Roman" w:hAnsi="Times New Roman" w:cs="Times New Roman"/>
          <w:kern w:val="0"/>
          <w:lang w:val="en-GB"/>
        </w:rPr>
        <w:t>2</w:t>
      </w:r>
      <w:r w:rsidRPr="00765279">
        <w:rPr>
          <w:rFonts w:ascii="Times New Roman" w:hAnsi="Times New Roman" w:cs="Times New Roman"/>
          <w:kern w:val="0"/>
          <w:lang w:val="en-GB"/>
        </w:rPr>
        <w:t xml:space="preserve">, confirm those obtained using a proximity matrix. Endogeneity problems arise in the residuals of the SAR specification with a spatial matrix </w:t>
      </w:r>
      <w:r w:rsidRPr="00765279">
        <w:rPr>
          <w:rFonts w:ascii="Times New Roman" w:hAnsi="Times New Roman" w:cs="Times New Roman"/>
          <w:i/>
          <w:iCs/>
          <w:kern w:val="0"/>
          <w:lang w:val="en-GB"/>
        </w:rPr>
        <w:t>(</w:t>
      </w:r>
      <w:proofErr w:type="spellStart"/>
      <w:r w:rsidRPr="00765279">
        <w:rPr>
          <w:rFonts w:ascii="Times New Roman" w:hAnsi="Times New Roman" w:cs="Times New Roman"/>
          <w:i/>
          <w:iCs/>
          <w:kern w:val="0"/>
          <w:lang w:val="en-GB"/>
        </w:rPr>
        <w:t>Wsp</w:t>
      </w:r>
      <w:proofErr w:type="spellEnd"/>
      <w:r w:rsidRPr="00765279">
        <w:rPr>
          <w:rFonts w:ascii="Times New Roman" w:hAnsi="Times New Roman" w:cs="Times New Roman"/>
          <w:kern w:val="0"/>
          <w:lang w:val="en-GB"/>
        </w:rPr>
        <w:t xml:space="preserve">). This </w:t>
      </w:r>
      <w:r w:rsidRPr="00765279">
        <w:rPr>
          <w:rFonts w:ascii="Times New Roman" w:eastAsia="Aptos" w:hAnsi="Times New Roman" w:cs="Times New Roman"/>
          <w:kern w:val="0"/>
          <w:lang w:val="en-GB"/>
        </w:rPr>
        <w:t xml:space="preserve">finding </w:t>
      </w:r>
      <w:r w:rsidRPr="00765279">
        <w:rPr>
          <w:rFonts w:ascii="Times New Roman" w:hAnsi="Times New Roman" w:cs="Times New Roman"/>
          <w:kern w:val="0"/>
          <w:lang w:val="en-GB"/>
        </w:rPr>
        <w:t>confirms that dealing with endogeneity by considering spillover effects through a spatial lag model is an appropriate approach.</w:t>
      </w:r>
    </w:p>
    <w:p w14:paraId="64174FB0" w14:textId="530CA3FF" w:rsidR="006344F9" w:rsidRPr="00765279" w:rsidRDefault="00000000" w:rsidP="00804F9D">
      <w:pPr>
        <w:autoSpaceDE w:val="0"/>
        <w:autoSpaceDN w:val="0"/>
        <w:adjustRightInd w:val="0"/>
        <w:snapToGrid w:val="0"/>
        <w:spacing w:before="120" w:line="276" w:lineRule="auto"/>
        <w:ind w:firstLine="357"/>
        <w:jc w:val="both"/>
        <w:rPr>
          <w:rFonts w:ascii="Times New Roman" w:hAnsi="Times New Roman" w:cs="Times New Roman"/>
          <w:kern w:val="0"/>
          <w:lang w:val="en-GB"/>
        </w:rPr>
      </w:pPr>
      <w:r w:rsidRPr="00813948">
        <w:rPr>
          <w:rFonts w:ascii="Times New Roman" w:hAnsi="Times New Roman" w:cs="Times New Roman"/>
          <w:kern w:val="0"/>
          <w:lang w:val="en-GB"/>
        </w:rPr>
        <w:t>Given that the SAR model proves to be the most appropriate one, we deploy</w:t>
      </w:r>
      <w:r w:rsidRPr="00813948">
        <w:rPr>
          <w:rFonts w:ascii="Times New Roman" w:eastAsia="Aptos" w:hAnsi="Times New Roman" w:cs="Times New Roman"/>
          <w:kern w:val="0"/>
          <w:lang w:val="en-GB"/>
        </w:rPr>
        <w:t xml:space="preserve"> it to examine the potential heterogeneity across groups of countries. The potentially endogenous variables (</w:t>
      </w:r>
      <w:proofErr w:type="spellStart"/>
      <w:r w:rsidRPr="00813948">
        <w:rPr>
          <w:rFonts w:ascii="Times New Roman" w:hAnsi="Times New Roman" w:cs="Times New Roman"/>
          <w:i/>
          <w:iCs/>
          <w:kern w:val="0"/>
          <w:lang w:val="en-GB"/>
        </w:rPr>
        <w:t>envRTA</w:t>
      </w:r>
      <w:proofErr w:type="spellEnd"/>
      <w:r w:rsidRPr="00813948">
        <w:rPr>
          <w:rFonts w:ascii="Times New Roman" w:hAnsi="Times New Roman" w:cs="Times New Roman"/>
          <w:kern w:val="0"/>
          <w:lang w:val="en-GB"/>
        </w:rPr>
        <w:t xml:space="preserve"> </w:t>
      </w:r>
      <w:r w:rsidR="00EC0993" w:rsidRPr="00813948">
        <w:rPr>
          <w:rFonts w:ascii="Times New Roman" w:hAnsi="Times New Roman" w:cs="Times New Roman"/>
          <w:kern w:val="0"/>
          <w:lang w:val="en-GB"/>
        </w:rPr>
        <w:t>and</w:t>
      </w:r>
      <w:r w:rsidR="00EC0993" w:rsidRPr="00813948">
        <w:rPr>
          <w:rFonts w:ascii="Times New Roman" w:hAnsi="Times New Roman" w:cs="Times New Roman"/>
          <w:i/>
          <w:iCs/>
          <w:kern w:val="0"/>
          <w:lang w:val="en-GB"/>
        </w:rPr>
        <w:t xml:space="preserve"> </w:t>
      </w:r>
      <w:r w:rsidRPr="00813948">
        <w:rPr>
          <w:rFonts w:ascii="Times New Roman" w:hAnsi="Times New Roman" w:cs="Times New Roman"/>
          <w:i/>
          <w:iCs/>
          <w:kern w:val="0"/>
          <w:lang w:val="en-GB"/>
        </w:rPr>
        <w:t>RTA1025</w:t>
      </w:r>
      <w:r w:rsidRPr="00813948">
        <w:rPr>
          <w:rFonts w:ascii="Times New Roman" w:hAnsi="Times New Roman" w:cs="Times New Roman"/>
          <w:kern w:val="0"/>
          <w:lang w:val="en-GB"/>
        </w:rPr>
        <w:t xml:space="preserve">) are instrumented with their lags. </w:t>
      </w:r>
      <w:r w:rsidR="00EC0993">
        <w:rPr>
          <w:rStyle w:val="Rimandonotaapidipagina"/>
          <w:rFonts w:ascii="Times New Roman" w:hAnsi="Times New Roman" w:cs="Times New Roman"/>
          <w:kern w:val="0"/>
          <w:lang w:val="en-GB"/>
        </w:rPr>
        <w:footnoteReference w:id="13"/>
      </w:r>
      <w:r w:rsidR="00D75218">
        <w:rPr>
          <w:rFonts w:ascii="Times New Roman" w:hAnsi="Times New Roman" w:cs="Times New Roman"/>
          <w:kern w:val="0"/>
          <w:lang w:val="en-GB"/>
        </w:rPr>
        <w:t xml:space="preserve"> </w:t>
      </w:r>
      <w:r w:rsidRPr="00813948">
        <w:rPr>
          <w:rFonts w:ascii="Times New Roman" w:hAnsi="Times New Roman" w:cs="Times New Roman"/>
          <w:kern w:val="0"/>
          <w:lang w:val="en-GB"/>
        </w:rPr>
        <w:t>We run estimations using the same specification as in Table 3</w:t>
      </w:r>
      <w:r w:rsidR="00AF1E66">
        <w:rPr>
          <w:rFonts w:ascii="Times New Roman" w:hAnsi="Times New Roman" w:cs="Times New Roman"/>
          <w:kern w:val="0"/>
          <w:lang w:val="en-GB"/>
        </w:rPr>
        <w:t xml:space="preserve"> (column 10)</w:t>
      </w:r>
      <w:r w:rsidRPr="00813948">
        <w:rPr>
          <w:rFonts w:ascii="Times New Roman" w:hAnsi="Times New Roman" w:cs="Times New Roman"/>
          <w:kern w:val="0"/>
          <w:lang w:val="en-GB"/>
        </w:rPr>
        <w:t xml:space="preserve"> for two sub-samples of the total panel of 142 countries: developed and developing countries (Table 4). </w:t>
      </w:r>
      <w:r w:rsidRPr="00813948">
        <w:rPr>
          <w:rStyle w:val="Rimandonotaapidipagina"/>
          <w:rFonts w:ascii="Times New Roman" w:hAnsi="Times New Roman" w:cs="Times New Roman"/>
          <w:kern w:val="0"/>
          <w:lang w:val="en-GB"/>
        </w:rPr>
        <w:footnoteReference w:id="14"/>
      </w:r>
      <w:r w:rsidRPr="00813948">
        <w:rPr>
          <w:rFonts w:ascii="Times New Roman" w:hAnsi="Times New Roman" w:cs="Times New Roman"/>
          <w:kern w:val="0"/>
          <w:lang w:val="en-GB"/>
        </w:rPr>
        <w:t xml:space="preserve"> </w:t>
      </w:r>
      <w:r w:rsidR="00AF1E66">
        <w:rPr>
          <w:rFonts w:ascii="Times New Roman" w:hAnsi="Times New Roman" w:cs="Times New Roman"/>
          <w:kern w:val="0"/>
          <w:lang w:val="en-GB"/>
        </w:rPr>
        <w:t xml:space="preserve">While the </w:t>
      </w:r>
      <w:r w:rsidR="00AF1E66" w:rsidRPr="005E5898">
        <w:rPr>
          <w:rFonts w:ascii="Times New Roman" w:hAnsi="Times New Roman" w:cs="Times New Roman"/>
          <w:kern w:val="0"/>
        </w:rPr>
        <w:t>temporal lag coefficient (</w:t>
      </w:r>
      <w:r w:rsidR="00AF1E66" w:rsidRPr="00813948">
        <w:rPr>
          <w:rFonts w:ascii="Times New Roman" w:hAnsi="Times New Roman" w:cs="Times New Roman"/>
          <w:i/>
          <w:iCs/>
          <w:kern w:val="0"/>
          <w:lang w:val="it-IT"/>
        </w:rPr>
        <w:t>δ</w:t>
      </w:r>
      <w:r w:rsidR="00AF1E66" w:rsidRPr="005E5898">
        <w:rPr>
          <w:rFonts w:ascii="Times New Roman" w:hAnsi="Times New Roman" w:cs="Times New Roman"/>
          <w:kern w:val="0"/>
        </w:rPr>
        <w:t xml:space="preserve">) </w:t>
      </w:r>
      <w:r w:rsidR="00AF1E66">
        <w:rPr>
          <w:rFonts w:ascii="Times New Roman" w:hAnsi="Times New Roman" w:cs="Times New Roman"/>
          <w:kern w:val="0"/>
        </w:rPr>
        <w:t>is significant at the 1% level</w:t>
      </w:r>
      <w:r w:rsidR="00AF1E66" w:rsidRPr="00813948">
        <w:rPr>
          <w:rFonts w:ascii="Times New Roman" w:hAnsi="Times New Roman" w:cs="Times New Roman"/>
          <w:kern w:val="0"/>
          <w:lang w:val="en-GB"/>
        </w:rPr>
        <w:t xml:space="preserve"> </w:t>
      </w:r>
      <w:r w:rsidR="00AF1E66">
        <w:rPr>
          <w:rFonts w:ascii="Times New Roman" w:hAnsi="Times New Roman" w:cs="Times New Roman"/>
          <w:kern w:val="0"/>
          <w:lang w:val="en-GB"/>
        </w:rPr>
        <w:t>for both groups of countries, o</w:t>
      </w:r>
      <w:r w:rsidRPr="00813948">
        <w:rPr>
          <w:rFonts w:ascii="Times New Roman" w:hAnsi="Times New Roman" w:cs="Times New Roman"/>
          <w:kern w:val="0"/>
          <w:lang w:val="en-GB"/>
        </w:rPr>
        <w:t>ur spatial lag variable is confirmed to be positive and significant for developed countries but not for developing countries. Overall, the significance, signs</w:t>
      </w:r>
      <w:r w:rsidRPr="00813948">
        <w:rPr>
          <w:rFonts w:ascii="Times New Roman" w:eastAsia="Aptos" w:hAnsi="Times New Roman" w:cs="Times New Roman"/>
          <w:kern w:val="0"/>
          <w:lang w:val="en-GB"/>
        </w:rPr>
        <w:t xml:space="preserve">, and magnitudes of the coefficients of </w:t>
      </w:r>
      <w:proofErr w:type="spellStart"/>
      <w:r w:rsidRPr="00813948">
        <w:rPr>
          <w:rFonts w:ascii="Times New Roman" w:hAnsi="Times New Roman" w:cs="Times New Roman"/>
          <w:i/>
          <w:iCs/>
          <w:kern w:val="0"/>
          <w:lang w:val="en-GB"/>
        </w:rPr>
        <w:t>envRTA</w:t>
      </w:r>
      <w:proofErr w:type="spellEnd"/>
      <w:r w:rsidR="00AF1E66">
        <w:rPr>
          <w:rFonts w:ascii="Times New Roman" w:hAnsi="Times New Roman" w:cs="Times New Roman"/>
          <w:i/>
          <w:iCs/>
          <w:kern w:val="0"/>
          <w:lang w:val="en-GB"/>
        </w:rPr>
        <w:t xml:space="preserve"> </w:t>
      </w:r>
      <w:r w:rsidR="00AF1E66" w:rsidRPr="00AF1E66">
        <w:rPr>
          <w:rFonts w:ascii="Times New Roman" w:hAnsi="Times New Roman" w:cs="Times New Roman"/>
          <w:kern w:val="0"/>
          <w:lang w:val="en-GB"/>
        </w:rPr>
        <w:t>and</w:t>
      </w:r>
      <w:r w:rsidRPr="00AF1E66">
        <w:rPr>
          <w:rFonts w:ascii="Times New Roman" w:hAnsi="Times New Roman" w:cs="Times New Roman"/>
          <w:kern w:val="0"/>
          <w:lang w:val="en-GB"/>
        </w:rPr>
        <w:t xml:space="preserve"> </w:t>
      </w:r>
      <w:r w:rsidRPr="00813948">
        <w:rPr>
          <w:rFonts w:ascii="Times New Roman" w:hAnsi="Times New Roman" w:cs="Times New Roman"/>
          <w:i/>
          <w:iCs/>
          <w:kern w:val="0"/>
          <w:lang w:val="en-GB"/>
        </w:rPr>
        <w:t>RTA1025</w:t>
      </w:r>
      <w:r w:rsidRPr="00813948">
        <w:rPr>
          <w:rFonts w:ascii="Times New Roman" w:hAnsi="Times New Roman" w:cs="Times New Roman"/>
          <w:kern w:val="0"/>
          <w:lang w:val="en-GB"/>
        </w:rPr>
        <w:t xml:space="preserve"> are similar across the two subsamples. </w:t>
      </w:r>
      <w:r w:rsidR="005A0555">
        <w:rPr>
          <w:rFonts w:ascii="Times New Roman" w:hAnsi="Times New Roman" w:cs="Times New Roman"/>
          <w:kern w:val="0"/>
          <w:lang w:val="en-GB"/>
        </w:rPr>
        <w:t>F</w:t>
      </w:r>
      <w:r w:rsidR="005A0555" w:rsidRPr="00813948">
        <w:rPr>
          <w:rFonts w:ascii="Times New Roman" w:hAnsi="Times New Roman" w:cs="Times New Roman"/>
          <w:kern w:val="0"/>
          <w:lang w:val="en-GB"/>
        </w:rPr>
        <w:t>or both groups of countries</w:t>
      </w:r>
      <w:r w:rsidR="005A0555" w:rsidRPr="00813948">
        <w:rPr>
          <w:rFonts w:ascii="Times New Roman" w:eastAsia="Aptos" w:hAnsi="Times New Roman" w:cs="Times New Roman"/>
          <w:kern w:val="0"/>
          <w:lang w:val="en-GB"/>
        </w:rPr>
        <w:t>,</w:t>
      </w:r>
      <w:r w:rsidR="005A0555">
        <w:rPr>
          <w:rFonts w:ascii="Times New Roman" w:eastAsia="Aptos" w:hAnsi="Times New Roman" w:cs="Times New Roman"/>
          <w:kern w:val="0"/>
          <w:lang w:val="en-GB"/>
        </w:rPr>
        <w:t xml:space="preserve"> </w:t>
      </w:r>
      <w:r w:rsidR="005A0555">
        <w:rPr>
          <w:rFonts w:ascii="Times New Roman" w:hAnsi="Times New Roman" w:cs="Times New Roman"/>
          <w:kern w:val="0"/>
          <w:lang w:val="en-GB"/>
        </w:rPr>
        <w:t>t</w:t>
      </w:r>
      <w:r w:rsidRPr="00813948">
        <w:rPr>
          <w:rFonts w:ascii="Times New Roman" w:hAnsi="Times New Roman" w:cs="Times New Roman"/>
          <w:kern w:val="0"/>
          <w:lang w:val="en-GB"/>
        </w:rPr>
        <w:t xml:space="preserve">he impact of RTA provisions on fertilizers and pesticides is positive, </w:t>
      </w:r>
      <w:r w:rsidRPr="00813948">
        <w:rPr>
          <w:rFonts w:ascii="Times New Roman" w:eastAsia="Aptos" w:hAnsi="Times New Roman" w:cs="Times New Roman"/>
          <w:kern w:val="0"/>
          <w:lang w:val="en-GB"/>
        </w:rPr>
        <w:t xml:space="preserve">the </w:t>
      </w:r>
      <w:proofErr w:type="spellStart"/>
      <w:r w:rsidRPr="00813948">
        <w:rPr>
          <w:rFonts w:ascii="Times New Roman" w:hAnsi="Times New Roman" w:cs="Times New Roman"/>
          <w:i/>
          <w:iCs/>
          <w:kern w:val="0"/>
          <w:lang w:val="en-GB"/>
        </w:rPr>
        <w:t>EPIscore</w:t>
      </w:r>
      <w:proofErr w:type="spellEnd"/>
      <w:r w:rsidRPr="00813948">
        <w:rPr>
          <w:rFonts w:ascii="Times New Roman" w:hAnsi="Times New Roman" w:cs="Times New Roman"/>
          <w:kern w:val="0"/>
          <w:lang w:val="en-GB"/>
        </w:rPr>
        <w:t xml:space="preserve"> has a positive effect, </w:t>
      </w:r>
      <w:r w:rsidR="005A0555">
        <w:rPr>
          <w:rFonts w:ascii="Times New Roman" w:hAnsi="Times New Roman" w:cs="Times New Roman"/>
          <w:kern w:val="0"/>
          <w:lang w:val="en-GB"/>
        </w:rPr>
        <w:t>and</w:t>
      </w:r>
      <w:r w:rsidRPr="00813948">
        <w:rPr>
          <w:rFonts w:ascii="Times New Roman" w:hAnsi="Times New Roman" w:cs="Times New Roman"/>
          <w:kern w:val="0"/>
          <w:lang w:val="en-GB"/>
        </w:rPr>
        <w:t xml:space="preserve"> tariffs on agricultural trade exert a negative impact. Our results show </w:t>
      </w:r>
      <w:r w:rsidRPr="00813948">
        <w:rPr>
          <w:rFonts w:ascii="Times New Roman" w:eastAsia="Aptos" w:hAnsi="Times New Roman" w:cs="Times New Roman"/>
          <w:kern w:val="0"/>
          <w:lang w:val="en-GB"/>
        </w:rPr>
        <w:t>the heterogeneous impact</w:t>
      </w:r>
      <w:r w:rsidRPr="00813948">
        <w:rPr>
          <w:rFonts w:ascii="Times New Roman" w:hAnsi="Times New Roman" w:cs="Times New Roman"/>
          <w:kern w:val="0"/>
          <w:lang w:val="en-GB"/>
        </w:rPr>
        <w:t xml:space="preserve"> of specific tariffs. Specifically, while tariffs on pesticides do not affect TBT in developing countries, the coefficient for developed countries is positive and significant. Hence, for pesticides</w:t>
      </w:r>
      <w:r w:rsidRPr="00813948">
        <w:rPr>
          <w:rFonts w:ascii="Times New Roman" w:eastAsia="Aptos" w:hAnsi="Times New Roman" w:cs="Times New Roman"/>
          <w:kern w:val="0"/>
          <w:lang w:val="en-GB"/>
        </w:rPr>
        <w:t>, we find (unexpected) evidence of “complementarity</w:t>
      </w:r>
      <w:r w:rsidRPr="00813948">
        <w:rPr>
          <w:rFonts w:ascii="Times New Roman" w:hAnsi="Times New Roman" w:cs="Times New Roman"/>
          <w:kern w:val="0"/>
          <w:lang w:val="en-GB"/>
        </w:rPr>
        <w:t>,” rather than substitution, between TBT and tariffs in developed countries.</w:t>
      </w:r>
      <w:r w:rsidR="009D2A44" w:rsidRPr="00813948">
        <w:rPr>
          <w:rFonts w:ascii="Times New Roman" w:hAnsi="Times New Roman" w:cs="Times New Roman"/>
          <w:kern w:val="0"/>
          <w:lang w:val="en-GB"/>
        </w:rPr>
        <w:t xml:space="preserve"> </w:t>
      </w:r>
      <w:r w:rsidRPr="00813948">
        <w:rPr>
          <w:rStyle w:val="Rimandonotaapidipagina"/>
          <w:rFonts w:ascii="Times New Roman" w:hAnsi="Times New Roman" w:cs="Times New Roman"/>
          <w:kern w:val="0"/>
          <w:lang w:val="en-GB"/>
        </w:rPr>
        <w:footnoteReference w:id="15"/>
      </w:r>
    </w:p>
    <w:p w14:paraId="4CE0A52B" w14:textId="77777777" w:rsidR="00843209" w:rsidRPr="00765279" w:rsidRDefault="00843209" w:rsidP="00843209">
      <w:pPr>
        <w:spacing w:before="120" w:line="276" w:lineRule="auto"/>
        <w:ind w:right="-1" w:firstLine="142"/>
        <w:jc w:val="both"/>
        <w:rPr>
          <w:rFonts w:ascii="Times New Roman" w:hAnsi="Times New Roman" w:cs="Times New Roman"/>
          <w:b/>
          <w:bCs/>
        </w:rPr>
      </w:pPr>
    </w:p>
    <w:p w14:paraId="6E0B805A" w14:textId="44ACFC53" w:rsidR="00425C0D" w:rsidRPr="00765279" w:rsidRDefault="00000000" w:rsidP="00374F6A">
      <w:pPr>
        <w:pStyle w:val="Paragrafoelenco"/>
        <w:numPr>
          <w:ilvl w:val="0"/>
          <w:numId w:val="3"/>
        </w:numPr>
        <w:spacing w:before="120" w:line="276" w:lineRule="auto"/>
        <w:ind w:left="0" w:right="-1" w:firstLine="142"/>
        <w:jc w:val="both"/>
        <w:rPr>
          <w:rFonts w:ascii="Times New Roman" w:hAnsi="Times New Roman" w:cs="Times New Roman"/>
          <w:b/>
          <w:bCs/>
        </w:rPr>
      </w:pPr>
      <w:r w:rsidRPr="00765279">
        <w:rPr>
          <w:rFonts w:ascii="Times New Roman" w:hAnsi="Times New Roman" w:cs="Times New Roman"/>
          <w:b/>
          <w:bCs/>
        </w:rPr>
        <w:lastRenderedPageBreak/>
        <w:t xml:space="preserve"> Conclusions </w:t>
      </w:r>
    </w:p>
    <w:p w14:paraId="2123DAB8" w14:textId="4D6B948A" w:rsidR="00425C0D" w:rsidRPr="00765279" w:rsidRDefault="00425C0D" w:rsidP="005549B3">
      <w:pPr>
        <w:pStyle w:val="NormaleWeb"/>
        <w:adjustRightInd w:val="0"/>
        <w:snapToGrid w:val="0"/>
        <w:spacing w:before="120" w:beforeAutospacing="0" w:after="0" w:afterAutospacing="0" w:line="276" w:lineRule="auto"/>
        <w:ind w:firstLine="284"/>
        <w:jc w:val="both"/>
        <w:rPr>
          <w:lang w:val="en-GB"/>
        </w:rPr>
      </w:pPr>
      <w:r w:rsidRPr="00765279">
        <w:rPr>
          <w:lang w:val="en-GB"/>
        </w:rPr>
        <w:t>This paper provides additional empirical evidence on the effectiveness of environmental provisions in RTAs, focusing specifically on fertilizers and pesticides—two of the most critical areas regarding the potential negative environmental externalities of trade liberalization. We assess the impact of these provisions on the strengthening of domestic regulations by analy</w:t>
      </w:r>
      <w:r w:rsidR="00374F6A" w:rsidRPr="00765279">
        <w:rPr>
          <w:lang w:val="en-GB"/>
        </w:rPr>
        <w:t>s</w:t>
      </w:r>
      <w:r w:rsidRPr="00765279">
        <w:rPr>
          <w:lang w:val="en-GB"/>
        </w:rPr>
        <w:t>ing TBTs related to fertilizers and pesticides.</w:t>
      </w:r>
    </w:p>
    <w:p w14:paraId="3D2097BB" w14:textId="78193801" w:rsidR="00425C0D" w:rsidRPr="00765279" w:rsidRDefault="00425C0D" w:rsidP="005549B3">
      <w:pPr>
        <w:pStyle w:val="NormaleWeb"/>
        <w:adjustRightInd w:val="0"/>
        <w:snapToGrid w:val="0"/>
        <w:spacing w:before="120" w:beforeAutospacing="0" w:after="0" w:afterAutospacing="0" w:line="276" w:lineRule="auto"/>
        <w:ind w:firstLine="284"/>
        <w:jc w:val="both"/>
        <w:rPr>
          <w:lang w:val="en-GB"/>
        </w:rPr>
      </w:pPr>
      <w:r w:rsidRPr="00765279">
        <w:rPr>
          <w:lang w:val="en-GB"/>
        </w:rPr>
        <w:t>Our panel dataset integrates data on TBT</w:t>
      </w:r>
      <w:r w:rsidR="00374F6A" w:rsidRPr="00765279">
        <w:rPr>
          <w:lang w:val="en-GB"/>
        </w:rPr>
        <w:t>s</w:t>
      </w:r>
      <w:r w:rsidRPr="00765279">
        <w:rPr>
          <w:lang w:val="en-GB"/>
        </w:rPr>
        <w:t xml:space="preserve"> notifications concerning fertilizers and pesticides with information on RTA</w:t>
      </w:r>
      <w:r w:rsidR="00374F6A" w:rsidRPr="00765279">
        <w:rPr>
          <w:lang w:val="en-GB"/>
        </w:rPr>
        <w:t>s</w:t>
      </w:r>
      <w:r w:rsidRPr="00765279">
        <w:rPr>
          <w:lang w:val="en-GB"/>
        </w:rPr>
        <w:t xml:space="preserve"> environmental provisions that specifically address these products. A key innovation of this study lies in its consideration of potential spillover effects, whereby TBTs enacted in one country may influence the adoption of similar measures in other countries. Given the unobservable nature of these interactions, we adopt a spatial econometric model based on a trade proximity matrix, which represents the most appropriate empirical strategy among the various models estimated.</w:t>
      </w:r>
    </w:p>
    <w:p w14:paraId="4B4DC070" w14:textId="4F10CD72" w:rsidR="00425C0D" w:rsidRPr="00765279" w:rsidRDefault="00425C0D" w:rsidP="005549B3">
      <w:pPr>
        <w:pStyle w:val="NormaleWeb"/>
        <w:adjustRightInd w:val="0"/>
        <w:snapToGrid w:val="0"/>
        <w:spacing w:before="120" w:beforeAutospacing="0" w:after="0" w:afterAutospacing="0" w:line="276" w:lineRule="auto"/>
        <w:ind w:firstLine="284"/>
        <w:jc w:val="both"/>
        <w:rPr>
          <w:lang w:val="en-GB"/>
        </w:rPr>
      </w:pPr>
      <w:r w:rsidRPr="00765279">
        <w:rPr>
          <w:lang w:val="en-GB"/>
        </w:rPr>
        <w:t xml:space="preserve">Our findings are robust across multiple model specifications, estimators, and alternative assumptions. First, we find that RTA provisions specifically related to fertilizers and pesticides significantly increase the number of TBT notifications concerning these products, both in developed and developing countries. These results are consistent with the hypothesis that economic, political, and institutional mechanisms driving regulatory stringency are </w:t>
      </w:r>
      <w:r w:rsidR="00374F6A" w:rsidRPr="00765279">
        <w:rPr>
          <w:lang w:val="en-GB"/>
        </w:rPr>
        <w:t>at work</w:t>
      </w:r>
      <w:r w:rsidRPr="00765279">
        <w:rPr>
          <w:lang w:val="en-GB"/>
        </w:rPr>
        <w:t xml:space="preserve"> when countries enter into deep RTAs. While we acknowledge that an increase in environmental regulations does not automatically translate into improved environmental outcomes, the effectiveness of environmental provisions in RTAs depends, as a first step, on their translation into domestic regulatory frameworks. From this perspective, our results confirm and extend the findings of previous studies (</w:t>
      </w:r>
      <w:proofErr w:type="spellStart"/>
      <w:r w:rsidRPr="00765279">
        <w:rPr>
          <w:lang w:val="en-GB"/>
        </w:rPr>
        <w:t>Abman</w:t>
      </w:r>
      <w:proofErr w:type="spellEnd"/>
      <w:r w:rsidRPr="00765279">
        <w:rPr>
          <w:lang w:val="en-GB"/>
        </w:rPr>
        <w:t xml:space="preserve"> et al., 2024; </w:t>
      </w:r>
      <w:proofErr w:type="spellStart"/>
      <w:r w:rsidRPr="00765279">
        <w:rPr>
          <w:lang w:val="en-GB"/>
        </w:rPr>
        <w:t>Bayramoglu</w:t>
      </w:r>
      <w:proofErr w:type="spellEnd"/>
      <w:r w:rsidRPr="00765279">
        <w:rPr>
          <w:lang w:val="en-GB"/>
        </w:rPr>
        <w:t xml:space="preserve"> et al., 2023; </w:t>
      </w:r>
      <w:proofErr w:type="spellStart"/>
      <w:r w:rsidRPr="00765279">
        <w:rPr>
          <w:lang w:val="en-GB"/>
        </w:rPr>
        <w:t>Gozlan</w:t>
      </w:r>
      <w:proofErr w:type="spellEnd"/>
      <w:r w:rsidR="00B209C1" w:rsidRPr="00765279">
        <w:rPr>
          <w:lang w:val="en-GB"/>
        </w:rPr>
        <w:t>,</w:t>
      </w:r>
      <w:r w:rsidRPr="00765279">
        <w:rPr>
          <w:lang w:val="en-GB"/>
        </w:rPr>
        <w:t xml:space="preserve"> Lochard, 2024), suggesting that greening RTAs by including targeted commitments can contribute to mitigating the </w:t>
      </w:r>
      <w:r w:rsidR="001F3056" w:rsidRPr="00765279">
        <w:rPr>
          <w:lang w:val="en-GB"/>
        </w:rPr>
        <w:t xml:space="preserve">negative </w:t>
      </w:r>
      <w:r w:rsidRPr="00765279">
        <w:rPr>
          <w:lang w:val="en-GB"/>
        </w:rPr>
        <w:t>environmental externalities associated with trade liberalization through enhanced domestic regulation.</w:t>
      </w:r>
    </w:p>
    <w:p w14:paraId="5188972B" w14:textId="42F95A1E" w:rsidR="00320434" w:rsidRPr="00765279" w:rsidRDefault="00320434" w:rsidP="005549B3">
      <w:pPr>
        <w:pStyle w:val="NormaleWeb"/>
        <w:adjustRightInd w:val="0"/>
        <w:snapToGrid w:val="0"/>
        <w:spacing w:before="120" w:beforeAutospacing="0" w:after="0" w:afterAutospacing="0" w:line="276" w:lineRule="auto"/>
        <w:ind w:firstLine="284"/>
        <w:jc w:val="both"/>
        <w:rPr>
          <w:lang w:val="en-GB"/>
        </w:rPr>
      </w:pPr>
      <w:r w:rsidRPr="00765279">
        <w:rPr>
          <w:rStyle w:val="Enfasigrassetto"/>
          <w:rFonts w:eastAsiaTheme="majorEastAsia"/>
          <w:b w:val="0"/>
          <w:bCs w:val="0"/>
          <w:lang w:val="en-GB"/>
        </w:rPr>
        <w:t>Secondly</w:t>
      </w:r>
      <w:r w:rsidRPr="00765279">
        <w:rPr>
          <w:lang w:val="en-GB"/>
        </w:rPr>
        <w:t xml:space="preserve">, we find that RTA provisions concerning organic food do not have a significant effect on TBTs related to fertilizers and pesticides. In this case, international commitments do not appear to translate into more stringent domestic regulations. The limited effectiveness of these provisions in prompting regulatory changes may be attributable to the prevalence of alternative policy actions taken to </w:t>
      </w:r>
      <w:r w:rsidR="006E4DE2" w:rsidRPr="00765279">
        <w:rPr>
          <w:lang w:val="en-GB"/>
        </w:rPr>
        <w:t>fulfil</w:t>
      </w:r>
      <w:r w:rsidRPr="00765279">
        <w:rPr>
          <w:lang w:val="en-GB"/>
        </w:rPr>
        <w:t xml:space="preserve"> </w:t>
      </w:r>
      <w:r w:rsidR="00733DC7" w:rsidRPr="00765279">
        <w:rPr>
          <w:lang w:val="en-GB"/>
        </w:rPr>
        <w:t xml:space="preserve">these </w:t>
      </w:r>
      <w:r w:rsidRPr="00765279">
        <w:rPr>
          <w:lang w:val="en-GB"/>
        </w:rPr>
        <w:t>RTA</w:t>
      </w:r>
      <w:r w:rsidR="00733DC7" w:rsidRPr="00765279">
        <w:rPr>
          <w:lang w:val="en-GB"/>
        </w:rPr>
        <w:t>s</w:t>
      </w:r>
      <w:r w:rsidRPr="00765279">
        <w:rPr>
          <w:lang w:val="en-GB"/>
        </w:rPr>
        <w:t xml:space="preserve"> commitments, rather than the adoption of new standards</w:t>
      </w:r>
      <w:r w:rsidR="006E4DE2" w:rsidRPr="00765279">
        <w:rPr>
          <w:lang w:val="en-GB"/>
        </w:rPr>
        <w:t xml:space="preserve"> on fertilizers and pesticides</w:t>
      </w:r>
      <w:r w:rsidRPr="00765279">
        <w:rPr>
          <w:lang w:val="en-GB"/>
        </w:rPr>
        <w:t>.</w:t>
      </w:r>
      <w:r w:rsidR="00235C89" w:rsidRPr="00765279">
        <w:rPr>
          <w:lang w:val="en-GB"/>
        </w:rPr>
        <w:t xml:space="preserve"> </w:t>
      </w:r>
    </w:p>
    <w:p w14:paraId="1DBBAE06" w14:textId="6E085A99" w:rsidR="00425C0D" w:rsidRPr="00765279" w:rsidRDefault="00425C0D" w:rsidP="005549B3">
      <w:pPr>
        <w:pStyle w:val="NormaleWeb"/>
        <w:adjustRightInd w:val="0"/>
        <w:snapToGrid w:val="0"/>
        <w:spacing w:before="120" w:beforeAutospacing="0" w:after="0" w:afterAutospacing="0" w:line="276" w:lineRule="auto"/>
        <w:ind w:firstLine="284"/>
        <w:jc w:val="both"/>
        <w:rPr>
          <w:lang w:val="en-GB"/>
        </w:rPr>
      </w:pPr>
      <w:r w:rsidRPr="00765279">
        <w:rPr>
          <w:lang w:val="en-GB"/>
        </w:rPr>
        <w:t>Third, our analysis does not support the hypothesis of a substitution effect between TBTs and tariffs in the case of fertilizers and pesticides. In particular, we find that tariffs on pesticides in developed countries exert a positive effect on TBTs, challenging the commonly held assumption of a general substitution between tariff and non-tariff measures. Conversely, the average level of tariffs across the broader agricultural sector is negatively associated with TBTs on fertilizers and pesticides, in line with previous findings on overall trade protection (Orefice, 2017; Ghodsi, 2018).</w:t>
      </w:r>
    </w:p>
    <w:p w14:paraId="00D6E4C3" w14:textId="77777777" w:rsidR="00425C0D" w:rsidRPr="00765279" w:rsidRDefault="00425C0D" w:rsidP="005549B3">
      <w:pPr>
        <w:pStyle w:val="NormaleWeb"/>
        <w:adjustRightInd w:val="0"/>
        <w:snapToGrid w:val="0"/>
        <w:spacing w:before="120" w:beforeAutospacing="0" w:after="0" w:afterAutospacing="0" w:line="276" w:lineRule="auto"/>
        <w:ind w:firstLine="284"/>
        <w:jc w:val="both"/>
        <w:rPr>
          <w:lang w:val="en-GB"/>
        </w:rPr>
      </w:pPr>
      <w:r w:rsidRPr="00765279">
        <w:rPr>
          <w:lang w:val="en-GB"/>
        </w:rPr>
        <w:t>Fourth, we find strong evidence that countries with higher environmental performance in managing fertilizers and pesticides are more likely to adopt TBTs related to these products. This result reinforces previous findings (Ghodsi, 2018) and supports the notion that environmental concerns represent a key driver behind the enactment of TBTs.</w:t>
      </w:r>
    </w:p>
    <w:p w14:paraId="6722E939" w14:textId="3E1B8831" w:rsidR="00425C0D" w:rsidRPr="00765279" w:rsidRDefault="00000000" w:rsidP="005549B3">
      <w:pPr>
        <w:pStyle w:val="NormaleWeb"/>
        <w:adjustRightInd w:val="0"/>
        <w:snapToGrid w:val="0"/>
        <w:spacing w:before="120" w:beforeAutospacing="0" w:after="0" w:afterAutospacing="0" w:line="276" w:lineRule="auto"/>
        <w:ind w:firstLine="284"/>
        <w:jc w:val="both"/>
        <w:rPr>
          <w:lang w:val="en-GB"/>
        </w:rPr>
      </w:pPr>
      <w:r w:rsidRPr="00765279">
        <w:rPr>
          <w:rFonts w:eastAsia="Aptos"/>
          <w:lang w:val="en-GB"/>
        </w:rPr>
        <w:lastRenderedPageBreak/>
        <w:t xml:space="preserve">Fifth, the hypothesis that TBT in one country can influence TBT in other countries </w:t>
      </w:r>
      <w:r w:rsidR="00C50905" w:rsidRPr="00765279">
        <w:rPr>
          <w:lang w:val="en-GB"/>
        </w:rPr>
        <w:t>i</w:t>
      </w:r>
      <w:r w:rsidRPr="00765279">
        <w:rPr>
          <w:lang w:val="en-GB"/>
        </w:rPr>
        <w:t xml:space="preserve">s confirmed by the results, </w:t>
      </w:r>
      <w:r w:rsidR="00425C0D" w:rsidRPr="00765279">
        <w:rPr>
          <w:lang w:val="en-GB"/>
        </w:rPr>
        <w:t>but this effect is statistically significant only among developed countries. This finding suggests the presence of voluntary regulatory convergence, which becomes more pronounced when a greater number of developed countries are engaged in bilateral environmental commitments.</w:t>
      </w:r>
    </w:p>
    <w:p w14:paraId="5436531B" w14:textId="4463D37B" w:rsidR="00B948B7" w:rsidRPr="00765279" w:rsidRDefault="00B948B7" w:rsidP="005549B3">
      <w:pPr>
        <w:pStyle w:val="NormaleWeb"/>
        <w:adjustRightInd w:val="0"/>
        <w:snapToGrid w:val="0"/>
        <w:spacing w:before="120" w:beforeAutospacing="0" w:after="0" w:afterAutospacing="0" w:line="276" w:lineRule="auto"/>
        <w:ind w:firstLine="284"/>
        <w:jc w:val="both"/>
        <w:rPr>
          <w:lang w:val="en-GB"/>
        </w:rPr>
      </w:pPr>
      <w:r w:rsidRPr="00765279">
        <w:rPr>
          <w:lang w:val="en-GB"/>
        </w:rPr>
        <w:t>The findings of this study provide the first empirical evidence of the effectiveness of environmental provisions in RTAs in strengthening domestic regulations governing the use of agrochemicals. This contributes to a growing body of research exploring the intersection of trade policy and environmental governance. The empirical analysis in this area, however, can be further improved and expanded in several directions.</w:t>
      </w:r>
    </w:p>
    <w:p w14:paraId="431F0262" w14:textId="44B4FBA9" w:rsidR="00B948B7" w:rsidRPr="00765279" w:rsidRDefault="00B948B7" w:rsidP="005549B3">
      <w:pPr>
        <w:pStyle w:val="NormaleWeb"/>
        <w:adjustRightInd w:val="0"/>
        <w:snapToGrid w:val="0"/>
        <w:spacing w:before="120" w:beforeAutospacing="0" w:after="0" w:afterAutospacing="0" w:line="276" w:lineRule="auto"/>
        <w:ind w:firstLine="284"/>
        <w:jc w:val="both"/>
        <w:rPr>
          <w:lang w:val="en-GB"/>
        </w:rPr>
      </w:pPr>
      <w:r w:rsidRPr="00765279">
        <w:rPr>
          <w:lang w:val="en-GB"/>
        </w:rPr>
        <w:t xml:space="preserve">First, improvements in the quality and granularity of available datasets could enhance the robustness of empirical assessments by allowing for the inclusion of </w:t>
      </w:r>
      <w:r w:rsidR="004E3540" w:rsidRPr="00765279">
        <w:rPr>
          <w:lang w:val="en-GB"/>
        </w:rPr>
        <w:t xml:space="preserve">a larger number of, and more refined, metrics - particularly those related to </w:t>
      </w:r>
      <w:r w:rsidR="002D5529" w:rsidRPr="00765279">
        <w:rPr>
          <w:lang w:val="en-GB"/>
        </w:rPr>
        <w:t xml:space="preserve">RTAs </w:t>
      </w:r>
      <w:r w:rsidR="003746D1" w:rsidRPr="00765279">
        <w:rPr>
          <w:lang w:val="en-GB"/>
        </w:rPr>
        <w:t xml:space="preserve">environmental provisions concerning </w:t>
      </w:r>
      <w:r w:rsidR="004E3540" w:rsidRPr="00765279">
        <w:rPr>
          <w:lang w:val="en-GB"/>
        </w:rPr>
        <w:t>agrochemical-specific products.</w:t>
      </w:r>
      <w:r w:rsidR="00F54A5C" w:rsidRPr="00765279">
        <w:rPr>
          <w:lang w:val="en-GB"/>
        </w:rPr>
        <w:t xml:space="preserve"> </w:t>
      </w:r>
      <w:r w:rsidRPr="00765279">
        <w:rPr>
          <w:lang w:val="en-GB"/>
        </w:rPr>
        <w:t xml:space="preserve">Second, future research could explore the </w:t>
      </w:r>
      <w:r w:rsidR="002D5529" w:rsidRPr="00765279">
        <w:rPr>
          <w:lang w:val="en-GB"/>
        </w:rPr>
        <w:t>impact of</w:t>
      </w:r>
      <w:r w:rsidRPr="00765279">
        <w:rPr>
          <w:lang w:val="en-GB"/>
        </w:rPr>
        <w:t xml:space="preserve"> domestic regulatory stringency </w:t>
      </w:r>
      <w:r w:rsidR="002D5529" w:rsidRPr="00765279">
        <w:rPr>
          <w:lang w:val="en-GB"/>
        </w:rPr>
        <w:t xml:space="preserve">on </w:t>
      </w:r>
      <w:r w:rsidRPr="00765279">
        <w:rPr>
          <w:lang w:val="en-GB"/>
        </w:rPr>
        <w:t>the likelihood of entering RTAs that include environmental provisions. To the best of our knowledge, this direction of causality remains underexplored in the existing literature. Third, our spatial model estimations confirm that TBTs enacted in one country can influence TBTs in countries with high levels of trade proximity; however, this effect is observed only among developed countries. Further research is warranted to examine the underlying factors driving this heterogeneity in spillover effects.</w:t>
      </w:r>
    </w:p>
    <w:p w14:paraId="7DBCD4F8" w14:textId="77777777" w:rsidR="00B948B7" w:rsidRPr="00765279" w:rsidRDefault="00B948B7" w:rsidP="005549B3">
      <w:pPr>
        <w:pStyle w:val="NormaleWeb"/>
        <w:adjustRightInd w:val="0"/>
        <w:snapToGrid w:val="0"/>
        <w:spacing w:before="120" w:beforeAutospacing="0" w:after="0" w:afterAutospacing="0" w:line="276" w:lineRule="auto"/>
        <w:ind w:firstLine="284"/>
        <w:jc w:val="both"/>
        <w:rPr>
          <w:lang w:val="en-GB"/>
        </w:rPr>
      </w:pPr>
      <w:r w:rsidRPr="00765279">
        <w:rPr>
          <w:lang w:val="en-GB"/>
        </w:rPr>
        <w:t>The results also carry important policy implications. "Greening" RTAs by incorporating specific environmental provisions appears particularly relevant for developing countries as a means to mitigate the negative environmental externalities associated with trade liberalization. Notably, our findings indicate that while environmental provisions in RTAs are effective in promoting domestic regulatory action on fertilizers and pesticides, no spillover effects from TBTs are observed for developing countries. This suggests that for these countries, RTA commitments themselves—rather than indirect influence from trading partners—are a key mechanism driving regulatory change.</w:t>
      </w:r>
    </w:p>
    <w:p w14:paraId="6F255984" w14:textId="77777777" w:rsidR="00425C0D" w:rsidRPr="00765279" w:rsidRDefault="00425C0D" w:rsidP="00A87C71">
      <w:pPr>
        <w:spacing w:before="120"/>
        <w:ind w:right="-1"/>
        <w:jc w:val="both"/>
        <w:rPr>
          <w:rFonts w:ascii="Times New Roman" w:hAnsi="Times New Roman" w:cs="Times New Roman"/>
          <w:b/>
          <w:bCs/>
          <w:sz w:val="22"/>
          <w:szCs w:val="22"/>
        </w:rPr>
      </w:pPr>
    </w:p>
    <w:p w14:paraId="51BD8DCA" w14:textId="77777777" w:rsidR="003B671A" w:rsidRPr="00E94301" w:rsidRDefault="003B671A" w:rsidP="003B671A">
      <w:pPr>
        <w:shd w:val="clear" w:color="auto" w:fill="FFFFFF"/>
        <w:spacing w:before="100" w:beforeAutospacing="1" w:after="120"/>
        <w:ind w:left="360"/>
        <w:rPr>
          <w:rFonts w:ascii="Times New Roman" w:eastAsia="Times New Roman" w:hAnsi="Times New Roman" w:cs="Times New Roman"/>
          <w:i/>
          <w:iCs/>
          <w:color w:val="222222"/>
          <w:kern w:val="0"/>
          <w:lang w:eastAsia="it-IT"/>
          <w14:ligatures w14:val="none"/>
        </w:rPr>
      </w:pPr>
      <w:r w:rsidRPr="00E94301">
        <w:rPr>
          <w:rFonts w:ascii="Times New Roman" w:eastAsia="Times New Roman" w:hAnsi="Times New Roman" w:cs="Times New Roman"/>
          <w:i/>
          <w:iCs/>
          <w:color w:val="222222"/>
          <w:kern w:val="0"/>
          <w:lang w:eastAsia="it-IT"/>
          <w14:ligatures w14:val="none"/>
        </w:rPr>
        <w:t>The authors have no competing interests to declare that are relevant to the content of this article.</w:t>
      </w:r>
    </w:p>
    <w:p w14:paraId="1120BFCD" w14:textId="551CED04" w:rsidR="00425C0D" w:rsidRPr="00765279" w:rsidRDefault="00425C0D" w:rsidP="00843209">
      <w:pPr>
        <w:spacing w:before="120"/>
        <w:ind w:right="-1"/>
        <w:jc w:val="both"/>
        <w:rPr>
          <w:rFonts w:ascii="Times New Roman" w:hAnsi="Times New Roman" w:cs="Times New Roman"/>
          <w:b/>
          <w:bCs/>
          <w:sz w:val="22"/>
          <w:szCs w:val="22"/>
        </w:rPr>
      </w:pPr>
    </w:p>
    <w:p w14:paraId="53E91883" w14:textId="77777777" w:rsidR="00843209" w:rsidRPr="00765279" w:rsidRDefault="00843209" w:rsidP="00843209">
      <w:pPr>
        <w:spacing w:before="120"/>
        <w:ind w:right="-1" w:firstLine="142"/>
        <w:jc w:val="both"/>
        <w:rPr>
          <w:rFonts w:ascii="Times New Roman" w:hAnsi="Times New Roman" w:cs="Times New Roman"/>
          <w:b/>
          <w:bCs/>
          <w:sz w:val="22"/>
          <w:szCs w:val="22"/>
        </w:rPr>
      </w:pPr>
    </w:p>
    <w:p w14:paraId="305E354E" w14:textId="77777777" w:rsidR="00843209" w:rsidRPr="00765279" w:rsidRDefault="00000000" w:rsidP="00843209">
      <w:pPr>
        <w:spacing w:before="120"/>
        <w:ind w:right="-1" w:firstLine="142"/>
        <w:jc w:val="both"/>
        <w:rPr>
          <w:rFonts w:ascii="Times New Roman" w:hAnsi="Times New Roman" w:cs="Times New Roman"/>
          <w:b/>
          <w:bCs/>
          <w:sz w:val="22"/>
          <w:szCs w:val="22"/>
        </w:rPr>
      </w:pPr>
      <w:r w:rsidRPr="00765279">
        <w:rPr>
          <w:rFonts w:ascii="Times New Roman" w:hAnsi="Times New Roman" w:cs="Times New Roman"/>
          <w:b/>
          <w:bCs/>
          <w:sz w:val="22"/>
          <w:szCs w:val="22"/>
        </w:rPr>
        <w:t xml:space="preserve">References </w:t>
      </w:r>
    </w:p>
    <w:p w14:paraId="159E11C1" w14:textId="29976E78" w:rsidR="00FE22EF" w:rsidRPr="00765279" w:rsidRDefault="00FE22EF" w:rsidP="00FF6E2B">
      <w:pPr>
        <w:spacing w:before="120"/>
        <w:ind w:right="-1" w:firstLine="142"/>
        <w:jc w:val="both"/>
        <w:rPr>
          <w:rFonts w:ascii="Times New Roman" w:hAnsi="Times New Roman" w:cs="Times New Roman"/>
          <w:color w:val="000000" w:themeColor="text1"/>
          <w:sz w:val="22"/>
          <w:szCs w:val="22"/>
          <w:shd w:val="clear" w:color="auto" w:fill="FFFFFF"/>
        </w:rPr>
      </w:pPr>
      <w:r w:rsidRPr="00765279">
        <w:rPr>
          <w:rFonts w:ascii="Times New Roman" w:hAnsi="Times New Roman" w:cs="Times New Roman"/>
          <w:color w:val="000000" w:themeColor="text1"/>
          <w:sz w:val="22"/>
          <w:szCs w:val="22"/>
          <w:shd w:val="clear" w:color="auto" w:fill="FFFFFF"/>
        </w:rPr>
        <w:t xml:space="preserve">Abel-Koch, J. (2013). </w:t>
      </w:r>
      <w:r w:rsidRPr="00765279">
        <w:rPr>
          <w:rFonts w:ascii="Times New Roman" w:hAnsi="Times New Roman" w:cs="Times New Roman"/>
          <w:color w:val="000000" w:themeColor="text1"/>
          <w:sz w:val="22"/>
          <w:szCs w:val="22"/>
        </w:rPr>
        <w:t>Endogenous Trade Policy with Heterogeneous Firms</w:t>
      </w:r>
      <w:r w:rsidRPr="00765279">
        <w:rPr>
          <w:rFonts w:ascii="Times New Roman" w:hAnsi="Times New Roman" w:cs="Times New Roman"/>
          <w:color w:val="000000" w:themeColor="text1"/>
          <w:sz w:val="22"/>
          <w:szCs w:val="22"/>
          <w:shd w:val="clear" w:color="auto" w:fill="FFFFFF"/>
        </w:rPr>
        <w:t>. </w:t>
      </w:r>
      <w:r w:rsidRPr="00765279">
        <w:rPr>
          <w:rFonts w:ascii="Times New Roman" w:hAnsi="Times New Roman" w:cs="Times New Roman"/>
          <w:color w:val="000000" w:themeColor="text1"/>
          <w:sz w:val="22"/>
          <w:szCs w:val="22"/>
        </w:rPr>
        <w:t>Working Papers</w:t>
      </w:r>
      <w:r w:rsidRPr="00765279">
        <w:rPr>
          <w:rFonts w:ascii="Times New Roman" w:hAnsi="Times New Roman" w:cs="Times New Roman"/>
          <w:color w:val="000000" w:themeColor="text1"/>
          <w:sz w:val="22"/>
          <w:szCs w:val="22"/>
          <w:shd w:val="clear" w:color="auto" w:fill="FFFFFF"/>
        </w:rPr>
        <w:t> 1306, Gutenberg School of Management and Economics, Johannes Gutenberg-Universität Mainz.</w:t>
      </w:r>
    </w:p>
    <w:p w14:paraId="292FB167" w14:textId="43C91E59" w:rsidR="00843209" w:rsidRPr="00765279" w:rsidRDefault="00000000" w:rsidP="00FF6E2B">
      <w:pPr>
        <w:spacing w:before="120"/>
        <w:ind w:right="-1" w:firstLine="142"/>
        <w:jc w:val="both"/>
        <w:rPr>
          <w:rFonts w:ascii="Times New Roman" w:hAnsi="Times New Roman" w:cs="Times New Roman"/>
          <w:sz w:val="22"/>
          <w:szCs w:val="22"/>
        </w:rPr>
      </w:pPr>
      <w:proofErr w:type="spellStart"/>
      <w:r w:rsidRPr="00765279">
        <w:rPr>
          <w:rFonts w:ascii="Times New Roman" w:hAnsi="Times New Roman" w:cs="Times New Roman"/>
          <w:sz w:val="22"/>
          <w:szCs w:val="22"/>
        </w:rPr>
        <w:t>Abman</w:t>
      </w:r>
      <w:proofErr w:type="spellEnd"/>
      <w:r w:rsidRPr="00765279">
        <w:rPr>
          <w:rFonts w:ascii="Times New Roman" w:hAnsi="Times New Roman" w:cs="Times New Roman"/>
          <w:sz w:val="22"/>
          <w:szCs w:val="22"/>
        </w:rPr>
        <w:t xml:space="preserve">, R., Lundberg C., (2020). Does Free Trade Increase Deforestation? The Effects of Regional Trade Agreements. Journal of the Association of Environmental and Resource Economists, 7, 35–72. </w:t>
      </w:r>
    </w:p>
    <w:p w14:paraId="25B57B82" w14:textId="77777777" w:rsidR="00843209" w:rsidRPr="00765279" w:rsidRDefault="00000000" w:rsidP="00FF6E2B">
      <w:pPr>
        <w:spacing w:before="120"/>
        <w:ind w:right="-1" w:firstLine="142"/>
        <w:jc w:val="both"/>
        <w:rPr>
          <w:rFonts w:ascii="Times New Roman" w:hAnsi="Times New Roman" w:cs="Times New Roman"/>
          <w:sz w:val="22"/>
          <w:szCs w:val="22"/>
        </w:rPr>
      </w:pPr>
      <w:proofErr w:type="spellStart"/>
      <w:r w:rsidRPr="00765279">
        <w:rPr>
          <w:rFonts w:ascii="Times New Roman" w:hAnsi="Times New Roman" w:cs="Times New Roman"/>
          <w:sz w:val="22"/>
          <w:szCs w:val="22"/>
        </w:rPr>
        <w:t>Abman</w:t>
      </w:r>
      <w:proofErr w:type="spellEnd"/>
      <w:r w:rsidRPr="00765279">
        <w:rPr>
          <w:rFonts w:ascii="Times New Roman" w:hAnsi="Times New Roman" w:cs="Times New Roman"/>
          <w:sz w:val="22"/>
          <w:szCs w:val="22"/>
        </w:rPr>
        <w:t xml:space="preserve">, R., Lundberg C., Ruta M., (2024) The Effectiveness of Environmental Provisions in Regional Trade Agreements, Journal of the European Economic Association, 1–42; </w:t>
      </w:r>
    </w:p>
    <w:p w14:paraId="3E5001D1" w14:textId="5BF42E4D" w:rsidR="00843209"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14:ligatures w14:val="none"/>
        </w:rPr>
      </w:pPr>
      <w:proofErr w:type="spellStart"/>
      <w:r w:rsidRPr="00765279">
        <w:rPr>
          <w:rFonts w:ascii="Times New Roman" w:hAnsi="Times New Roman" w:cs="Times New Roman"/>
          <w:sz w:val="22"/>
          <w:szCs w:val="22"/>
        </w:rPr>
        <w:t>Anselin</w:t>
      </w:r>
      <w:proofErr w:type="spellEnd"/>
      <w:r w:rsidRPr="00765279">
        <w:rPr>
          <w:rFonts w:ascii="Times New Roman" w:hAnsi="Times New Roman" w:cs="Times New Roman"/>
          <w:sz w:val="22"/>
          <w:szCs w:val="22"/>
        </w:rPr>
        <w:t>, L. (2009). Spatial regression. The SAGE handbook of spatial analysis, 1, 255-276.</w:t>
      </w:r>
    </w:p>
    <w:p w14:paraId="1E6295BB" w14:textId="77777777" w:rsidR="00843209" w:rsidRPr="00765279" w:rsidRDefault="00000000" w:rsidP="00FF6E2B">
      <w:pPr>
        <w:autoSpaceDE w:val="0"/>
        <w:autoSpaceDN w:val="0"/>
        <w:adjustRightInd w:val="0"/>
        <w:spacing w:before="120"/>
        <w:ind w:right="-1" w:firstLine="142"/>
        <w:jc w:val="both"/>
        <w:rPr>
          <w:rFonts w:ascii="Times New Roman" w:hAnsi="Times New Roman" w:cs="Times New Roman"/>
          <w:color w:val="000000" w:themeColor="text1"/>
          <w:sz w:val="22"/>
          <w:szCs w:val="22"/>
        </w:rPr>
      </w:pPr>
      <w:r w:rsidRPr="00765279">
        <w:rPr>
          <w:rFonts w:ascii="Times New Roman" w:hAnsi="Times New Roman" w:cs="Times New Roman"/>
          <w:color w:val="000000" w:themeColor="text1"/>
          <w:sz w:val="22"/>
          <w:lang w:val="it-IT"/>
        </w:rPr>
        <w:t xml:space="preserve">Avesani, C., </w:t>
      </w:r>
      <w:proofErr w:type="spellStart"/>
      <w:r w:rsidRPr="00765279">
        <w:rPr>
          <w:rFonts w:ascii="Times New Roman" w:hAnsi="Times New Roman" w:cs="Times New Roman"/>
          <w:color w:val="000000" w:themeColor="text1"/>
          <w:sz w:val="22"/>
          <w:lang w:val="it-IT"/>
        </w:rPr>
        <w:t>Dervisholli</w:t>
      </w:r>
      <w:proofErr w:type="spellEnd"/>
      <w:r w:rsidRPr="00765279">
        <w:rPr>
          <w:rFonts w:ascii="Times New Roman" w:hAnsi="Times New Roman" w:cs="Times New Roman"/>
          <w:color w:val="000000" w:themeColor="text1"/>
          <w:sz w:val="22"/>
          <w:lang w:val="it-IT"/>
        </w:rPr>
        <w:t xml:space="preserve">, E., </w:t>
      </w:r>
      <w:proofErr w:type="spellStart"/>
      <w:r w:rsidRPr="00765279">
        <w:rPr>
          <w:rFonts w:ascii="Times New Roman" w:hAnsi="Times New Roman" w:cs="Times New Roman"/>
          <w:color w:val="000000" w:themeColor="text1"/>
          <w:sz w:val="22"/>
          <w:lang w:val="it-IT"/>
        </w:rPr>
        <w:t>Schéré</w:t>
      </w:r>
      <w:proofErr w:type="spellEnd"/>
      <w:r w:rsidRPr="00765279">
        <w:rPr>
          <w:rFonts w:ascii="Times New Roman" w:hAnsi="Times New Roman" w:cs="Times New Roman"/>
          <w:color w:val="000000" w:themeColor="text1"/>
          <w:sz w:val="22"/>
          <w:lang w:val="it-IT"/>
        </w:rPr>
        <w:t xml:space="preserve">, E. </w:t>
      </w:r>
      <w:proofErr w:type="spellStart"/>
      <w:r w:rsidRPr="00765279">
        <w:rPr>
          <w:rFonts w:ascii="Times New Roman" w:hAnsi="Times New Roman" w:cs="Times New Roman"/>
          <w:color w:val="000000" w:themeColor="text1"/>
          <w:sz w:val="22"/>
          <w:lang w:val="it-IT"/>
        </w:rPr>
        <w:t>Solorzano</w:t>
      </w:r>
      <w:proofErr w:type="spellEnd"/>
      <w:r w:rsidRPr="00765279">
        <w:rPr>
          <w:rFonts w:ascii="Times New Roman" w:hAnsi="Times New Roman" w:cs="Times New Roman"/>
          <w:color w:val="000000" w:themeColor="text1"/>
          <w:sz w:val="22"/>
          <w:lang w:val="it-IT"/>
        </w:rPr>
        <w:t xml:space="preserve"> López, J. D. (2024). </w:t>
      </w:r>
      <w:r w:rsidRPr="00765279">
        <w:rPr>
          <w:rFonts w:ascii="Times New Roman" w:hAnsi="Times New Roman" w:cs="Times New Roman"/>
          <w:color w:val="000000" w:themeColor="text1"/>
          <w:sz w:val="22"/>
          <w:szCs w:val="22"/>
        </w:rPr>
        <w:t xml:space="preserve">Ag-ERPs database: a novel repository of environment-related provisions for agriculture, fisheries and forestry in regional trade agreements. Rome. FAO. </w:t>
      </w:r>
    </w:p>
    <w:p w14:paraId="1BD7A034" w14:textId="77777777" w:rsidR="005C742B"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14:ligatures w14:val="none"/>
        </w:rPr>
      </w:pPr>
      <w:proofErr w:type="spellStart"/>
      <w:r w:rsidRPr="00765279">
        <w:rPr>
          <w:rFonts w:ascii="Times New Roman" w:hAnsi="Times New Roman" w:cs="Times New Roman"/>
          <w:kern w:val="0"/>
          <w:sz w:val="22"/>
          <w:szCs w:val="22"/>
          <w14:ligatures w14:val="none"/>
        </w:rPr>
        <w:lastRenderedPageBreak/>
        <w:t>Bayramoglu</w:t>
      </w:r>
      <w:proofErr w:type="spellEnd"/>
      <w:r w:rsidRPr="00765279">
        <w:rPr>
          <w:rFonts w:ascii="Times New Roman" w:hAnsi="Times New Roman" w:cs="Times New Roman"/>
          <w:kern w:val="0"/>
          <w:sz w:val="22"/>
          <w:szCs w:val="22"/>
          <w14:ligatures w14:val="none"/>
        </w:rPr>
        <w:t xml:space="preserve"> B. </w:t>
      </w:r>
      <w:proofErr w:type="spellStart"/>
      <w:r w:rsidRPr="00765279">
        <w:rPr>
          <w:rFonts w:ascii="Times New Roman" w:hAnsi="Times New Roman" w:cs="Times New Roman"/>
          <w:kern w:val="0"/>
          <w:sz w:val="22"/>
          <w:szCs w:val="22"/>
          <w14:ligatures w14:val="none"/>
        </w:rPr>
        <w:t>Gozlan</w:t>
      </w:r>
      <w:proofErr w:type="spellEnd"/>
      <w:r w:rsidRPr="00765279">
        <w:rPr>
          <w:rFonts w:ascii="Times New Roman" w:hAnsi="Times New Roman" w:cs="Times New Roman"/>
          <w:kern w:val="0"/>
          <w:sz w:val="22"/>
          <w:szCs w:val="22"/>
          <w14:ligatures w14:val="none"/>
        </w:rPr>
        <w:t xml:space="preserve">, E., </w:t>
      </w:r>
      <w:proofErr w:type="spellStart"/>
      <w:r w:rsidRPr="00765279">
        <w:rPr>
          <w:rFonts w:ascii="Times New Roman" w:hAnsi="Times New Roman" w:cs="Times New Roman"/>
          <w:kern w:val="0"/>
          <w:sz w:val="22"/>
          <w:szCs w:val="22"/>
          <w14:ligatures w14:val="none"/>
        </w:rPr>
        <w:t>Nedoncelle</w:t>
      </w:r>
      <w:proofErr w:type="spellEnd"/>
      <w:r w:rsidRPr="00765279">
        <w:rPr>
          <w:rFonts w:ascii="Times New Roman" w:hAnsi="Times New Roman" w:cs="Times New Roman"/>
          <w:kern w:val="0"/>
          <w:sz w:val="22"/>
          <w:szCs w:val="22"/>
          <w14:ligatures w14:val="none"/>
        </w:rPr>
        <w:t xml:space="preserve">, C., </w:t>
      </w:r>
      <w:proofErr w:type="spellStart"/>
      <w:r w:rsidRPr="00765279">
        <w:rPr>
          <w:rFonts w:ascii="Times New Roman" w:hAnsi="Times New Roman" w:cs="Times New Roman"/>
          <w:kern w:val="0"/>
          <w:sz w:val="22"/>
          <w:szCs w:val="22"/>
          <w14:ligatures w14:val="none"/>
        </w:rPr>
        <w:t>Tarabbia</w:t>
      </w:r>
      <w:proofErr w:type="spellEnd"/>
      <w:r w:rsidRPr="00765279">
        <w:rPr>
          <w:rFonts w:ascii="Times New Roman" w:hAnsi="Times New Roman" w:cs="Times New Roman"/>
          <w:kern w:val="0"/>
          <w:sz w:val="22"/>
          <w:szCs w:val="22"/>
          <w14:ligatures w14:val="none"/>
        </w:rPr>
        <w:t>, T. (2023) "</w:t>
      </w:r>
      <w:r w:rsidRPr="00765279">
        <w:rPr>
          <w:rFonts w:ascii="Times New Roman" w:hAnsi="Times New Roman" w:cs="Times New Roman"/>
          <w:color w:val="000000" w:themeColor="text1"/>
          <w:sz w:val="22"/>
          <w:szCs w:val="22"/>
        </w:rPr>
        <w:t xml:space="preserve">Trade Agreements and Sustainable Fisheries </w:t>
      </w:r>
      <w:r w:rsidRPr="00765279">
        <w:rPr>
          <w:rFonts w:ascii="Times New Roman" w:hAnsi="Times New Roman" w:cs="Times New Roman"/>
          <w:kern w:val="0"/>
          <w:sz w:val="22"/>
          <w:szCs w:val="22"/>
          <w14:ligatures w14:val="none"/>
        </w:rPr>
        <w:t>" </w:t>
      </w:r>
      <w:r w:rsidRPr="00765279">
        <w:rPr>
          <w:rFonts w:ascii="Times New Roman" w:hAnsi="Times New Roman" w:cs="Times New Roman"/>
          <w:sz w:val="22"/>
          <w:szCs w:val="22"/>
        </w:rPr>
        <w:t>Working Papers</w:t>
      </w:r>
      <w:r w:rsidRPr="00765279">
        <w:rPr>
          <w:rFonts w:ascii="Times New Roman" w:hAnsi="Times New Roman" w:cs="Times New Roman"/>
          <w:kern w:val="0"/>
          <w:sz w:val="22"/>
          <w:szCs w:val="22"/>
          <w14:ligatures w14:val="none"/>
        </w:rPr>
        <w:t> hal-04101044, HAL.</w:t>
      </w:r>
    </w:p>
    <w:p w14:paraId="7B112311" w14:textId="6B679B79" w:rsidR="005C742B"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14:ligatures w14:val="none"/>
        </w:rPr>
      </w:pPr>
      <w:r w:rsidRPr="00765279">
        <w:rPr>
          <w:rFonts w:ascii="Times New Roman" w:hAnsi="Times New Roman" w:cs="Times New Roman"/>
          <w:sz w:val="22"/>
          <w:lang w:val="it-IT"/>
        </w:rPr>
        <w:t xml:space="preserve">Bellemare, M. F., </w:t>
      </w:r>
      <w:proofErr w:type="spellStart"/>
      <w:r w:rsidRPr="00765279">
        <w:rPr>
          <w:rFonts w:ascii="Times New Roman" w:hAnsi="Times New Roman" w:cs="Times New Roman"/>
          <w:sz w:val="22"/>
          <w:lang w:val="it-IT"/>
        </w:rPr>
        <w:t>Masaki</w:t>
      </w:r>
      <w:proofErr w:type="spellEnd"/>
      <w:r w:rsidRPr="00765279">
        <w:rPr>
          <w:rFonts w:ascii="Times New Roman" w:hAnsi="Times New Roman" w:cs="Times New Roman"/>
          <w:sz w:val="22"/>
          <w:lang w:val="it-IT"/>
        </w:rPr>
        <w:t xml:space="preserve">, T., &amp; </w:t>
      </w:r>
      <w:proofErr w:type="spellStart"/>
      <w:r w:rsidRPr="00765279">
        <w:rPr>
          <w:rFonts w:ascii="Times New Roman" w:hAnsi="Times New Roman" w:cs="Times New Roman"/>
          <w:sz w:val="22"/>
          <w:lang w:val="it-IT"/>
        </w:rPr>
        <w:t>Pepinsky</w:t>
      </w:r>
      <w:proofErr w:type="spellEnd"/>
      <w:r w:rsidRPr="00765279">
        <w:rPr>
          <w:rFonts w:ascii="Times New Roman" w:hAnsi="Times New Roman" w:cs="Times New Roman"/>
          <w:sz w:val="22"/>
          <w:lang w:val="it-IT"/>
        </w:rPr>
        <w:t xml:space="preserve">, T. B. (2017). </w:t>
      </w:r>
      <w:r w:rsidRPr="00765279">
        <w:rPr>
          <w:rFonts w:ascii="Times New Roman" w:hAnsi="Times New Roman" w:cs="Times New Roman"/>
          <w:sz w:val="22"/>
          <w:szCs w:val="22"/>
        </w:rPr>
        <w:t>Lagged explanatory variables and the estimation of causal effect. The Journal of Politics, 79(3), 949-963.</w:t>
      </w:r>
    </w:p>
    <w:p w14:paraId="53FC31D9" w14:textId="279E32D7" w:rsidR="00843209" w:rsidRPr="009C2869" w:rsidRDefault="00000000" w:rsidP="00FF6E2B">
      <w:pPr>
        <w:autoSpaceDE w:val="0"/>
        <w:autoSpaceDN w:val="0"/>
        <w:adjustRightInd w:val="0"/>
        <w:spacing w:before="120"/>
        <w:ind w:right="-1" w:firstLine="142"/>
        <w:jc w:val="both"/>
        <w:rPr>
          <w:rFonts w:ascii="Times New Roman" w:hAnsi="Times New Roman" w:cs="Times New Roman"/>
          <w:color w:val="000000" w:themeColor="text1"/>
          <w:kern w:val="0"/>
          <w:sz w:val="22"/>
          <w:szCs w:val="22"/>
          <w14:ligatures w14:val="none"/>
        </w:rPr>
      </w:pPr>
      <w:r w:rsidRPr="00765279">
        <w:rPr>
          <w:rFonts w:ascii="Times New Roman" w:hAnsi="Times New Roman" w:cs="Times New Roman"/>
          <w:kern w:val="0"/>
          <w:sz w:val="22"/>
          <w:szCs w:val="22"/>
          <w14:ligatures w14:val="none"/>
        </w:rPr>
        <w:t xml:space="preserve">Beverelli, C., M. Boffa and A. Keck (2014), ‘Trade Policy Substitution: Theory and Evidence from </w:t>
      </w:r>
      <w:r w:rsidRPr="009C2869">
        <w:rPr>
          <w:rFonts w:ascii="Times New Roman" w:hAnsi="Times New Roman" w:cs="Times New Roman"/>
          <w:color w:val="000000" w:themeColor="text1"/>
          <w:kern w:val="0"/>
          <w:sz w:val="22"/>
          <w:szCs w:val="22"/>
          <w14:ligatures w14:val="none"/>
        </w:rPr>
        <w:t>Specific Trade Concerns’, WTO Staff working paper ERSD-2014-18 (Geneva: WTO).</w:t>
      </w:r>
    </w:p>
    <w:p w14:paraId="79526476" w14:textId="56715EAC" w:rsidR="002F42AB" w:rsidRPr="009C2869" w:rsidRDefault="009C2869" w:rsidP="00FF6E2B">
      <w:pPr>
        <w:autoSpaceDE w:val="0"/>
        <w:autoSpaceDN w:val="0"/>
        <w:adjustRightInd w:val="0"/>
        <w:spacing w:before="120"/>
        <w:ind w:right="-1" w:firstLine="142"/>
        <w:jc w:val="both"/>
        <w:rPr>
          <w:rFonts w:ascii="Times New Roman" w:hAnsi="Times New Roman" w:cs="Times New Roman"/>
          <w:color w:val="000000" w:themeColor="text1"/>
          <w:sz w:val="22"/>
          <w:szCs w:val="22"/>
          <w:lang w:val="en-GB"/>
        </w:rPr>
      </w:pPr>
      <w:r w:rsidRPr="009C2869">
        <w:rPr>
          <w:rFonts w:ascii="Times New Roman" w:hAnsi="Times New Roman" w:cs="Times New Roman"/>
          <w:color w:val="000000" w:themeColor="text1"/>
          <w:kern w:val="0"/>
          <w:sz w:val="22"/>
          <w:szCs w:val="22"/>
          <w:lang w:val="en-GB"/>
          <w14:ligatures w14:val="none"/>
        </w:rPr>
        <w:t>Baghdadi, L.</w:t>
      </w:r>
      <w:proofErr w:type="gramStart"/>
      <w:r>
        <w:rPr>
          <w:rFonts w:ascii="Times New Roman" w:hAnsi="Times New Roman" w:cs="Times New Roman"/>
          <w:color w:val="000000" w:themeColor="text1"/>
          <w:kern w:val="0"/>
          <w:sz w:val="22"/>
          <w:szCs w:val="22"/>
          <w:lang w:val="en-GB"/>
          <w14:ligatures w14:val="none"/>
        </w:rPr>
        <w:t>,</w:t>
      </w:r>
      <w:r w:rsidRPr="009C2869">
        <w:rPr>
          <w:rFonts w:ascii="Times New Roman" w:hAnsi="Times New Roman" w:cs="Times New Roman"/>
          <w:color w:val="000000" w:themeColor="text1"/>
          <w:kern w:val="0"/>
          <w:sz w:val="22"/>
          <w:szCs w:val="22"/>
          <w:lang w:val="en-GB"/>
          <w14:ligatures w14:val="none"/>
        </w:rPr>
        <w:t xml:space="preserve">  I.</w:t>
      </w:r>
      <w:proofErr w:type="gramEnd"/>
      <w:r w:rsidRPr="009C2869">
        <w:rPr>
          <w:rFonts w:ascii="Times New Roman" w:hAnsi="Times New Roman" w:cs="Times New Roman"/>
          <w:color w:val="000000" w:themeColor="text1"/>
          <w:kern w:val="0"/>
          <w:sz w:val="22"/>
          <w:szCs w:val="22"/>
          <w:lang w:val="en-GB"/>
          <w14:ligatures w14:val="none"/>
        </w:rPr>
        <w:t xml:space="preserve"> Martinez-Zarzoso, H. </w:t>
      </w:r>
      <w:proofErr w:type="spellStart"/>
      <w:r w:rsidRPr="009C2869">
        <w:rPr>
          <w:rFonts w:ascii="Times New Roman" w:hAnsi="Times New Roman" w:cs="Times New Roman"/>
          <w:color w:val="000000" w:themeColor="text1"/>
          <w:kern w:val="0"/>
          <w:sz w:val="22"/>
          <w:szCs w:val="22"/>
          <w:lang w:val="en-GB"/>
          <w14:ligatures w14:val="none"/>
        </w:rPr>
        <w:t>Zitouna</w:t>
      </w:r>
      <w:proofErr w:type="spellEnd"/>
      <w:r w:rsidRPr="009C2869">
        <w:rPr>
          <w:rFonts w:ascii="Times New Roman" w:hAnsi="Times New Roman" w:cs="Times New Roman"/>
          <w:color w:val="000000" w:themeColor="text1"/>
          <w:kern w:val="0"/>
          <w:sz w:val="22"/>
          <w:szCs w:val="22"/>
          <w:lang w:val="en-GB"/>
          <w14:ligatures w14:val="none"/>
        </w:rPr>
        <w:t xml:space="preserve"> (2013) Are RTA agreements with environmental provisions reducing </w:t>
      </w:r>
      <w:proofErr w:type="spellStart"/>
      <w:proofErr w:type="gramStart"/>
      <w:r w:rsidRPr="009C2869">
        <w:rPr>
          <w:rFonts w:ascii="Times New Roman" w:hAnsi="Times New Roman" w:cs="Times New Roman"/>
          <w:color w:val="000000" w:themeColor="text1"/>
          <w:kern w:val="0"/>
          <w:sz w:val="22"/>
          <w:szCs w:val="22"/>
          <w:lang w:val="en-GB"/>
          <w14:ligatures w14:val="none"/>
        </w:rPr>
        <w:t>emissions?Journal</w:t>
      </w:r>
      <w:proofErr w:type="spellEnd"/>
      <w:proofErr w:type="gramEnd"/>
      <w:r w:rsidRPr="009C2869">
        <w:rPr>
          <w:rFonts w:ascii="Times New Roman" w:hAnsi="Times New Roman" w:cs="Times New Roman"/>
          <w:color w:val="000000" w:themeColor="text1"/>
          <w:kern w:val="0"/>
          <w:sz w:val="22"/>
          <w:szCs w:val="22"/>
          <w:lang w:val="en-GB"/>
          <w14:ligatures w14:val="none"/>
        </w:rPr>
        <w:t xml:space="preserve"> of International Economics </w:t>
      </w:r>
      <w:r w:rsidRPr="009C2869">
        <w:rPr>
          <w:rStyle w:val="anchor-text"/>
          <w:rFonts w:ascii="Times New Roman" w:hAnsi="Times New Roman" w:cs="Times New Roman"/>
          <w:color w:val="000000" w:themeColor="text1"/>
          <w:sz w:val="22"/>
          <w:szCs w:val="22"/>
          <w:lang w:val="en-GB"/>
        </w:rPr>
        <w:t>90 (2</w:t>
      </w:r>
      <w:r w:rsidRPr="009C2869">
        <w:rPr>
          <w:rFonts w:ascii="Times New Roman" w:hAnsi="Times New Roman" w:cs="Times New Roman"/>
          <w:color w:val="000000" w:themeColor="text1"/>
          <w:sz w:val="22"/>
          <w:szCs w:val="22"/>
          <w:lang w:val="en-GB"/>
        </w:rPr>
        <w:t>): 378-390</w:t>
      </w:r>
    </w:p>
    <w:p w14:paraId="0D113A83" w14:textId="4ECF1480" w:rsidR="00843209" w:rsidRPr="00765279" w:rsidRDefault="00000000" w:rsidP="00FF6E2B">
      <w:pPr>
        <w:autoSpaceDE w:val="0"/>
        <w:autoSpaceDN w:val="0"/>
        <w:adjustRightInd w:val="0"/>
        <w:spacing w:before="120"/>
        <w:ind w:right="-1" w:firstLine="142"/>
        <w:jc w:val="both"/>
        <w:rPr>
          <w:rFonts w:ascii="Times New Roman" w:hAnsi="Times New Roman" w:cs="Times New Roman"/>
          <w:sz w:val="22"/>
          <w:szCs w:val="22"/>
        </w:rPr>
      </w:pPr>
      <w:r w:rsidRPr="00765279">
        <w:rPr>
          <w:rFonts w:ascii="Times New Roman" w:hAnsi="Times New Roman" w:cs="Times New Roman"/>
          <w:sz w:val="22"/>
          <w:szCs w:val="22"/>
        </w:rPr>
        <w:t>Boza S., Muñoz, J. (2017) Factors underlying sanitary and phytosanitary regulation for food and agricultural imports notified by WTO members, The Journal of International Trade &amp; Economic Development, 26:6, 712-723</w:t>
      </w:r>
    </w:p>
    <w:p w14:paraId="68FE5D8C" w14:textId="77777777" w:rsidR="00843209" w:rsidRPr="00765279" w:rsidRDefault="00000000" w:rsidP="00FF6E2B">
      <w:pPr>
        <w:autoSpaceDE w:val="0"/>
        <w:autoSpaceDN w:val="0"/>
        <w:adjustRightInd w:val="0"/>
        <w:spacing w:before="120"/>
        <w:ind w:right="-1" w:firstLine="142"/>
        <w:jc w:val="both"/>
        <w:rPr>
          <w:rFonts w:ascii="Times New Roman" w:hAnsi="Times New Roman" w:cs="Times New Roman"/>
          <w:color w:val="000000" w:themeColor="text1"/>
          <w:sz w:val="22"/>
          <w:szCs w:val="22"/>
        </w:rPr>
      </w:pPr>
      <w:r w:rsidRPr="00765279">
        <w:rPr>
          <w:rFonts w:ascii="Times New Roman" w:hAnsi="Times New Roman" w:cs="Times New Roman"/>
          <w:color w:val="000000" w:themeColor="text1"/>
          <w:sz w:val="22"/>
          <w:szCs w:val="22"/>
        </w:rPr>
        <w:t>Brandi, C., Blumer, D., Morin, J-F (2019) When do International Treaties matter for domestic environmental legislation? Global Environmental Politics, 19(4): 14-44.</w:t>
      </w:r>
    </w:p>
    <w:p w14:paraId="607884E9" w14:textId="77777777" w:rsidR="004A425D" w:rsidRPr="00765279" w:rsidRDefault="00000000" w:rsidP="00FF6E2B">
      <w:pPr>
        <w:autoSpaceDE w:val="0"/>
        <w:autoSpaceDN w:val="0"/>
        <w:adjustRightInd w:val="0"/>
        <w:spacing w:before="120"/>
        <w:ind w:right="-1" w:firstLine="142"/>
        <w:jc w:val="both"/>
        <w:rPr>
          <w:rFonts w:ascii="Times New Roman" w:hAnsi="Times New Roman" w:cs="Times New Roman"/>
          <w:color w:val="000000" w:themeColor="text1"/>
          <w:sz w:val="22"/>
          <w:szCs w:val="22"/>
        </w:rPr>
      </w:pPr>
      <w:r w:rsidRPr="00765279">
        <w:rPr>
          <w:rFonts w:ascii="Times New Roman" w:hAnsi="Times New Roman" w:cs="Times New Roman"/>
          <w:color w:val="000000" w:themeColor="text1"/>
          <w:sz w:val="22"/>
        </w:rPr>
        <w:t xml:space="preserve">Brandi, C, Schwab, J., Berger, A., Morin J-F., (2020). </w:t>
      </w:r>
      <w:r w:rsidRPr="00765279">
        <w:rPr>
          <w:rFonts w:ascii="Times New Roman" w:hAnsi="Times New Roman" w:cs="Times New Roman"/>
          <w:color w:val="000000" w:themeColor="text1"/>
          <w:sz w:val="22"/>
          <w:szCs w:val="22"/>
        </w:rPr>
        <w:t>Do Environmental Provisions in Trade Agreements Make Exports from Developing Countries Greener? World Development, 129, 104899.</w:t>
      </w:r>
    </w:p>
    <w:p w14:paraId="4575E35A" w14:textId="51485F30" w:rsidR="004A425D" w:rsidRPr="00765279" w:rsidRDefault="00000000" w:rsidP="00FF6E2B">
      <w:pPr>
        <w:autoSpaceDE w:val="0"/>
        <w:autoSpaceDN w:val="0"/>
        <w:adjustRightInd w:val="0"/>
        <w:spacing w:before="120"/>
        <w:ind w:right="-1" w:firstLine="142"/>
        <w:jc w:val="both"/>
        <w:rPr>
          <w:rFonts w:ascii="Times New Roman" w:hAnsi="Times New Roman" w:cs="Times New Roman"/>
          <w:color w:val="000000" w:themeColor="text1"/>
          <w:sz w:val="22"/>
          <w:szCs w:val="22"/>
        </w:rPr>
      </w:pPr>
      <w:r w:rsidRPr="00765279">
        <w:rPr>
          <w:rFonts w:ascii="Times New Roman" w:hAnsi="Times New Roman" w:cs="Times New Roman"/>
          <w:color w:val="000000" w:themeColor="text1"/>
          <w:sz w:val="22"/>
        </w:rPr>
        <w:t xml:space="preserve">Brandi, C, Morin J-F., (2023) </w:t>
      </w:r>
      <w:r w:rsidRPr="00765279">
        <w:rPr>
          <w:rFonts w:ascii="Times New Roman" w:hAnsi="Times New Roman" w:cs="Times New Roman"/>
          <w:color w:val="000000" w:themeColor="text1"/>
          <w:kern w:val="0"/>
          <w:sz w:val="22"/>
          <w14:ligatures w14:val="none"/>
        </w:rPr>
        <w:t>Trade and the Environment Drivers and Effects of Environmental Provisions in Trade Agreements. Elements in Earth System Governance https://www.cambridge.org/core/elements/trade-and-the-environment/8DDFCD193957CD11C185572CB0D61B11</w:t>
      </w:r>
    </w:p>
    <w:p w14:paraId="047A48F7" w14:textId="74BCE049" w:rsidR="00843209" w:rsidRPr="00765279" w:rsidRDefault="00000000" w:rsidP="00FF6E2B">
      <w:pPr>
        <w:autoSpaceDE w:val="0"/>
        <w:autoSpaceDN w:val="0"/>
        <w:adjustRightInd w:val="0"/>
        <w:spacing w:before="120"/>
        <w:ind w:right="-1" w:firstLine="142"/>
        <w:jc w:val="both"/>
        <w:rPr>
          <w:rFonts w:ascii="Times New Roman" w:hAnsi="Times New Roman" w:cs="Times New Roman"/>
          <w:i/>
          <w:iCs/>
          <w:color w:val="000000" w:themeColor="text1"/>
          <w:sz w:val="22"/>
          <w:szCs w:val="22"/>
        </w:rPr>
      </w:pPr>
      <w:r w:rsidRPr="00765279">
        <w:rPr>
          <w:rFonts w:ascii="Times New Roman" w:hAnsi="Times New Roman" w:cs="Times New Roman"/>
          <w:color w:val="000000" w:themeColor="text1"/>
          <w:sz w:val="22"/>
          <w:szCs w:val="22"/>
        </w:rPr>
        <w:t>Brandi, C., Schwab, J., (2024) Environmental outcomes in agriculture: the effect of environmental – related provisions in regional trade agreements. Rome. FAO</w:t>
      </w:r>
      <w:r w:rsidRPr="00765279">
        <w:rPr>
          <w:rStyle w:val="A2"/>
          <w:rFonts w:ascii="Times New Roman" w:hAnsi="Times New Roman" w:cs="Times New Roman"/>
          <w:b w:val="0"/>
          <w:bCs w:val="0"/>
        </w:rPr>
        <w:t xml:space="preserve">. </w:t>
      </w:r>
      <w:hyperlink r:id="rId11" w:history="1">
        <w:r w:rsidR="00843209" w:rsidRPr="00765279">
          <w:rPr>
            <w:rStyle w:val="Collegamentoipertestuale"/>
            <w:rFonts w:ascii="Times New Roman" w:hAnsi="Times New Roman" w:cs="Times New Roman"/>
            <w:sz w:val="22"/>
            <w:szCs w:val="22"/>
          </w:rPr>
          <w:t>https://doi.org/10.4060/cc9613en</w:t>
        </w:r>
      </w:hyperlink>
      <w:r w:rsidRPr="00765279">
        <w:rPr>
          <w:rFonts w:ascii="Times New Roman" w:hAnsi="Times New Roman" w:cs="Times New Roman"/>
          <w:i/>
          <w:iCs/>
          <w:color w:val="000000" w:themeColor="text1"/>
          <w:sz w:val="22"/>
          <w:szCs w:val="22"/>
        </w:rPr>
        <w:t>.</w:t>
      </w:r>
    </w:p>
    <w:p w14:paraId="6C537E37" w14:textId="4F94595E" w:rsidR="00843209" w:rsidRPr="00765279" w:rsidRDefault="00000000" w:rsidP="00FF6E2B">
      <w:pPr>
        <w:autoSpaceDE w:val="0"/>
        <w:autoSpaceDN w:val="0"/>
        <w:adjustRightInd w:val="0"/>
        <w:spacing w:before="120"/>
        <w:ind w:right="-1" w:firstLine="142"/>
        <w:jc w:val="both"/>
        <w:rPr>
          <w:rFonts w:ascii="Times New Roman" w:hAnsi="Times New Roman" w:cs="Times New Roman"/>
          <w:i/>
          <w:iCs/>
          <w:color w:val="000000" w:themeColor="text1"/>
          <w:sz w:val="22"/>
          <w:szCs w:val="22"/>
        </w:rPr>
      </w:pPr>
      <w:r w:rsidRPr="00765279">
        <w:rPr>
          <w:rFonts w:ascii="Times New Roman" w:hAnsi="Times New Roman" w:cs="Times New Roman"/>
          <w:kern w:val="0"/>
          <w:sz w:val="22"/>
          <w14:ligatures w14:val="none"/>
        </w:rPr>
        <w:t xml:space="preserve">Buczinski, B., </w:t>
      </w:r>
      <w:proofErr w:type="spellStart"/>
      <w:r w:rsidRPr="00765279">
        <w:rPr>
          <w:rFonts w:ascii="Times New Roman" w:hAnsi="Times New Roman" w:cs="Times New Roman"/>
          <w:kern w:val="0"/>
          <w:sz w:val="22"/>
          <w14:ligatures w14:val="none"/>
        </w:rPr>
        <w:t>Chotteau</w:t>
      </w:r>
      <w:proofErr w:type="spellEnd"/>
      <w:r w:rsidRPr="00765279">
        <w:rPr>
          <w:rFonts w:ascii="Times New Roman" w:hAnsi="Times New Roman" w:cs="Times New Roman"/>
          <w:kern w:val="0"/>
          <w:sz w:val="22"/>
          <w14:ligatures w14:val="none"/>
        </w:rPr>
        <w:t xml:space="preserve">, P., Duflot, B., Rosa A., (2023) </w:t>
      </w:r>
      <w:r w:rsidRPr="00765279">
        <w:rPr>
          <w:rFonts w:ascii="Times New Roman" w:hAnsi="Times New Roman" w:cs="Times New Roman"/>
          <w:iCs/>
          <w:color w:val="000000" w:themeColor="text1"/>
          <w:kern w:val="0"/>
          <w:sz w:val="22"/>
          <w14:ligatures w14:val="none"/>
        </w:rPr>
        <w:t>The EU-Mercosur Free</w:t>
      </w:r>
      <w:r w:rsidRPr="00765279">
        <w:rPr>
          <w:rFonts w:ascii="Times New Roman" w:hAnsi="Times New Roman" w:cs="Times New Roman"/>
          <w:iCs/>
          <w:color w:val="000000" w:themeColor="text1"/>
          <w:sz w:val="22"/>
          <w:szCs w:val="22"/>
        </w:rPr>
        <w:t xml:space="preserve"> </w:t>
      </w:r>
      <w:r w:rsidRPr="00765279">
        <w:rPr>
          <w:rFonts w:ascii="Times New Roman" w:hAnsi="Times New Roman" w:cs="Times New Roman"/>
          <w:iCs/>
          <w:color w:val="000000" w:themeColor="text1"/>
          <w:kern w:val="0"/>
          <w:sz w:val="22"/>
          <w14:ligatures w14:val="none"/>
        </w:rPr>
        <w:t>Trade Agreement, its impacts on Agriculture</w:t>
      </w:r>
      <w:r w:rsidRPr="00765279">
        <w:rPr>
          <w:rFonts w:ascii="Times New Roman" w:hAnsi="Times New Roman" w:cs="Times New Roman"/>
          <w:i/>
          <w:color w:val="000000" w:themeColor="text1"/>
          <w:kern w:val="0"/>
          <w:sz w:val="22"/>
          <w14:ligatures w14:val="none"/>
        </w:rPr>
        <w:t>.</w:t>
      </w:r>
      <w:r w:rsidRPr="00765279">
        <w:rPr>
          <w:rFonts w:ascii="Times New Roman" w:hAnsi="Times New Roman" w:cs="Times New Roman"/>
          <w:color w:val="CDFFA6"/>
          <w:kern w:val="0"/>
          <w:sz w:val="22"/>
          <w14:ligatures w14:val="none"/>
        </w:rPr>
        <w:t xml:space="preserve"> </w:t>
      </w:r>
      <w:r w:rsidRPr="00765279">
        <w:rPr>
          <w:rFonts w:ascii="Times New Roman" w:hAnsi="Times New Roman" w:cs="Times New Roman"/>
          <w:color w:val="000000" w:themeColor="text1"/>
          <w:kern w:val="0"/>
          <w:sz w:val="22"/>
          <w14:ligatures w14:val="none"/>
        </w:rPr>
        <w:t>Study commissioned by the Greens / EFA Group in the European Parliament</w:t>
      </w:r>
      <w:r w:rsidRPr="00765279">
        <w:rPr>
          <w:rFonts w:ascii="Times New Roman" w:hAnsi="Times New Roman" w:cs="Times New Roman"/>
          <w:kern w:val="0"/>
          <w:sz w:val="22"/>
          <w14:ligatures w14:val="none"/>
        </w:rPr>
        <w:t xml:space="preserve">, https://www.greens-efa.eu/en/article/study/the-eu-mercosur-free-trade-agreement-its-impacts-on-agriculture. </w:t>
      </w:r>
    </w:p>
    <w:p w14:paraId="29099AA4" w14:textId="77777777" w:rsidR="00A963C0" w:rsidRPr="00765279" w:rsidRDefault="00000000" w:rsidP="00A963C0">
      <w:pPr>
        <w:autoSpaceDE w:val="0"/>
        <w:autoSpaceDN w:val="0"/>
        <w:adjustRightInd w:val="0"/>
        <w:spacing w:before="120"/>
        <w:ind w:right="-7" w:firstLine="142"/>
        <w:jc w:val="both"/>
        <w:rPr>
          <w:rFonts w:ascii="Times New Roman" w:hAnsi="Times New Roman" w:cs="Times New Roman"/>
        </w:rPr>
      </w:pPr>
      <w:r w:rsidRPr="00765279">
        <w:rPr>
          <w:rFonts w:ascii="Times New Roman" w:hAnsi="Times New Roman" w:cs="Times New Roman"/>
          <w:color w:val="000000" w:themeColor="text1"/>
          <w:sz w:val="22"/>
          <w:szCs w:val="22"/>
          <w:shd w:val="clear" w:color="auto" w:fill="FFFFFF"/>
        </w:rPr>
        <w:t xml:space="preserve">Cha, Y., Koo, M., (2021) </w:t>
      </w:r>
      <w:r w:rsidRPr="00765279">
        <w:rPr>
          <w:rFonts w:ascii="Times New Roman" w:hAnsi="Times New Roman" w:cs="Times New Roman"/>
          <w:color w:val="000000" w:themeColor="text1"/>
          <w:sz w:val="22"/>
          <w:szCs w:val="22"/>
        </w:rPr>
        <w:t>Who Embraces Technical Barriers to Trade? The Case of European REACH Regulations</w:t>
      </w:r>
      <w:r w:rsidRPr="00765279">
        <w:rPr>
          <w:rFonts w:ascii="Times New Roman" w:hAnsi="Times New Roman" w:cs="Times New Roman"/>
          <w:color w:val="000000" w:themeColor="text1"/>
          <w:sz w:val="22"/>
          <w:szCs w:val="22"/>
          <w:shd w:val="clear" w:color="auto" w:fill="FFFFFF"/>
        </w:rPr>
        <w:t>, </w:t>
      </w:r>
      <w:r w:rsidRPr="00765279">
        <w:rPr>
          <w:rFonts w:ascii="Times New Roman" w:hAnsi="Times New Roman" w:cs="Times New Roman"/>
          <w:color w:val="000000" w:themeColor="text1"/>
          <w:sz w:val="22"/>
          <w:szCs w:val="22"/>
        </w:rPr>
        <w:t>World Trade Review</w:t>
      </w:r>
      <w:r w:rsidRPr="00765279">
        <w:rPr>
          <w:rFonts w:ascii="Times New Roman" w:hAnsi="Times New Roman" w:cs="Times New Roman"/>
          <w:color w:val="000000" w:themeColor="text1"/>
          <w:sz w:val="22"/>
          <w:szCs w:val="22"/>
          <w:shd w:val="clear" w:color="auto" w:fill="FFFFFF"/>
        </w:rPr>
        <w:t>, Cambridge University Press, vol. 20(1</w:t>
      </w:r>
      <w:proofErr w:type="gramStart"/>
      <w:r w:rsidRPr="00765279">
        <w:rPr>
          <w:rFonts w:ascii="Times New Roman" w:hAnsi="Times New Roman" w:cs="Times New Roman"/>
          <w:color w:val="000000" w:themeColor="text1"/>
          <w:sz w:val="22"/>
          <w:szCs w:val="22"/>
          <w:shd w:val="clear" w:color="auto" w:fill="FFFFFF"/>
        </w:rPr>
        <w:t>) :</w:t>
      </w:r>
      <w:proofErr w:type="gramEnd"/>
      <w:r w:rsidRPr="00765279">
        <w:rPr>
          <w:rFonts w:ascii="Times New Roman" w:hAnsi="Times New Roman" w:cs="Times New Roman"/>
          <w:color w:val="000000" w:themeColor="text1"/>
          <w:sz w:val="22"/>
          <w:szCs w:val="22"/>
          <w:shd w:val="clear" w:color="auto" w:fill="FFFFFF"/>
        </w:rPr>
        <w:t xml:space="preserve"> 25-39.</w:t>
      </w:r>
      <w:r w:rsidRPr="00765279">
        <w:rPr>
          <w:rFonts w:ascii="Times New Roman" w:hAnsi="Times New Roman" w:cs="Times New Roman"/>
        </w:rPr>
        <w:t xml:space="preserve"> </w:t>
      </w:r>
    </w:p>
    <w:p w14:paraId="346C1ED2" w14:textId="2409DA54" w:rsidR="00A963C0" w:rsidRPr="00765279" w:rsidRDefault="00A963C0" w:rsidP="00A963C0">
      <w:pPr>
        <w:autoSpaceDE w:val="0"/>
        <w:autoSpaceDN w:val="0"/>
        <w:adjustRightInd w:val="0"/>
        <w:spacing w:before="120"/>
        <w:ind w:right="-7" w:firstLine="142"/>
        <w:jc w:val="both"/>
        <w:rPr>
          <w:rFonts w:ascii="Times New Roman" w:hAnsi="Times New Roman" w:cs="Times New Roman"/>
        </w:rPr>
      </w:pPr>
      <w:proofErr w:type="spellStart"/>
      <w:r w:rsidRPr="00765279">
        <w:rPr>
          <w:rFonts w:ascii="Times New Roman" w:hAnsi="Times New Roman" w:cs="Times New Roman"/>
          <w:sz w:val="22"/>
          <w:szCs w:val="22"/>
        </w:rPr>
        <w:t>Disdier</w:t>
      </w:r>
      <w:proofErr w:type="spellEnd"/>
      <w:r w:rsidRPr="00765279">
        <w:rPr>
          <w:rFonts w:ascii="Times New Roman" w:hAnsi="Times New Roman" w:cs="Times New Roman"/>
          <w:sz w:val="22"/>
          <w:szCs w:val="22"/>
        </w:rPr>
        <w:t xml:space="preserve">, A-C., L. </w:t>
      </w:r>
      <w:proofErr w:type="spellStart"/>
      <w:r w:rsidRPr="00765279">
        <w:rPr>
          <w:rFonts w:ascii="Times New Roman" w:hAnsi="Times New Roman" w:cs="Times New Roman"/>
          <w:sz w:val="22"/>
          <w:szCs w:val="22"/>
        </w:rPr>
        <w:t>Fontagné</w:t>
      </w:r>
      <w:proofErr w:type="spellEnd"/>
      <w:r w:rsidRPr="00765279">
        <w:rPr>
          <w:rFonts w:ascii="Times New Roman" w:hAnsi="Times New Roman" w:cs="Times New Roman"/>
          <w:sz w:val="22"/>
          <w:szCs w:val="22"/>
        </w:rPr>
        <w:t xml:space="preserve"> and O. Cadot (2015), “North-South Standards </w:t>
      </w:r>
      <w:proofErr w:type="spellStart"/>
      <w:r w:rsidRPr="00765279">
        <w:rPr>
          <w:rFonts w:ascii="Times New Roman" w:hAnsi="Times New Roman" w:cs="Times New Roman"/>
          <w:sz w:val="22"/>
          <w:szCs w:val="22"/>
        </w:rPr>
        <w:t>Harmonisation</w:t>
      </w:r>
      <w:proofErr w:type="spellEnd"/>
      <w:r w:rsidRPr="00765279">
        <w:rPr>
          <w:rFonts w:ascii="Times New Roman" w:hAnsi="Times New Roman" w:cs="Times New Roman"/>
          <w:sz w:val="22"/>
          <w:szCs w:val="22"/>
        </w:rPr>
        <w:t xml:space="preserve"> and International Trade”, The World Bank Economic Review, 29(2): pp. 327-352.</w:t>
      </w:r>
    </w:p>
    <w:p w14:paraId="37CE15F5" w14:textId="139A7749" w:rsidR="000758F1" w:rsidRPr="00765279" w:rsidRDefault="006C728F" w:rsidP="00A963C0">
      <w:pPr>
        <w:autoSpaceDE w:val="0"/>
        <w:autoSpaceDN w:val="0"/>
        <w:adjustRightInd w:val="0"/>
        <w:spacing w:before="120"/>
        <w:ind w:right="-7" w:firstLine="142"/>
        <w:jc w:val="both"/>
        <w:rPr>
          <w:rFonts w:ascii="Times New Roman" w:hAnsi="Times New Roman" w:cs="Times New Roman"/>
          <w:sz w:val="22"/>
          <w:szCs w:val="22"/>
        </w:rPr>
      </w:pPr>
      <w:r w:rsidRPr="00765279">
        <w:rPr>
          <w:rFonts w:ascii="Times New Roman" w:hAnsi="Times New Roman" w:cs="Times New Roman"/>
          <w:sz w:val="22"/>
          <w:szCs w:val="22"/>
        </w:rPr>
        <w:t xml:space="preserve"> Dumitrescu E, Hurlin C (2012). “Testing for Granger non-causality in heterogeneous panels.” Economic Modelling, 29(4), 1450 - 1460.</w:t>
      </w:r>
    </w:p>
    <w:p w14:paraId="7D3EEE49" w14:textId="248E134D" w:rsidR="0016153D" w:rsidRPr="00765279" w:rsidRDefault="0016153D" w:rsidP="00FF6E2B">
      <w:pPr>
        <w:autoSpaceDE w:val="0"/>
        <w:autoSpaceDN w:val="0"/>
        <w:adjustRightInd w:val="0"/>
        <w:spacing w:before="120"/>
        <w:ind w:right="-1" w:firstLine="142"/>
        <w:jc w:val="both"/>
        <w:rPr>
          <w:rFonts w:ascii="Times New Roman" w:hAnsi="Times New Roman" w:cs="Times New Roman"/>
          <w:color w:val="000000" w:themeColor="text1"/>
          <w:sz w:val="22"/>
          <w:szCs w:val="22"/>
          <w:shd w:val="clear" w:color="auto" w:fill="FFFFFF"/>
        </w:rPr>
      </w:pPr>
      <w:r w:rsidRPr="00765279">
        <w:rPr>
          <w:rFonts w:ascii="Times New Roman" w:hAnsi="Times New Roman" w:cs="Times New Roman"/>
          <w:color w:val="2A2A2A"/>
          <w:sz w:val="22"/>
          <w:szCs w:val="22"/>
          <w:shd w:val="clear" w:color="auto" w:fill="FFFFFF"/>
        </w:rPr>
        <w:t>Fernandes, A.  M.,   E. Ferro, J.S. Wilson (2019) Product Standards and Firms’ Export Decisions, </w:t>
      </w:r>
      <w:r w:rsidRPr="00765279">
        <w:rPr>
          <w:rStyle w:val="Enfasicorsivo"/>
          <w:rFonts w:ascii="Times New Roman" w:hAnsi="Times New Roman" w:cs="Times New Roman"/>
          <w:i w:val="0"/>
          <w:iCs w:val="0"/>
          <w:color w:val="2A2A2A"/>
          <w:sz w:val="22"/>
          <w:szCs w:val="22"/>
          <w:bdr w:val="none" w:sz="0" w:space="0" w:color="auto" w:frame="1"/>
          <w:shd w:val="clear" w:color="auto" w:fill="FFFFFF"/>
        </w:rPr>
        <w:t>The World Bank Economic Review</w:t>
      </w:r>
      <w:r w:rsidRPr="00765279">
        <w:rPr>
          <w:rFonts w:ascii="Times New Roman" w:hAnsi="Times New Roman" w:cs="Times New Roman"/>
          <w:color w:val="2A2A2A"/>
          <w:sz w:val="22"/>
          <w:szCs w:val="22"/>
          <w:shd w:val="clear" w:color="auto" w:fill="FFFFFF"/>
        </w:rPr>
        <w:t>, 33 (2):  353–374,</w:t>
      </w:r>
    </w:p>
    <w:p w14:paraId="6EBE4381" w14:textId="42960F94" w:rsidR="00843209" w:rsidRPr="00765279" w:rsidRDefault="00000000" w:rsidP="00FF6E2B">
      <w:pPr>
        <w:autoSpaceDE w:val="0"/>
        <w:autoSpaceDN w:val="0"/>
        <w:adjustRightInd w:val="0"/>
        <w:spacing w:before="120"/>
        <w:ind w:right="-1" w:firstLine="142"/>
        <w:jc w:val="both"/>
        <w:rPr>
          <w:rFonts w:ascii="Times New Roman" w:hAnsi="Times New Roman" w:cs="Times New Roman"/>
          <w:color w:val="212529"/>
          <w:sz w:val="22"/>
          <w:szCs w:val="22"/>
          <w:shd w:val="clear" w:color="auto" w:fill="FFFFFF"/>
        </w:rPr>
      </w:pPr>
      <w:r w:rsidRPr="00765279">
        <w:rPr>
          <w:rFonts w:ascii="Times New Roman" w:hAnsi="Times New Roman" w:cs="Times New Roman"/>
          <w:color w:val="000000" w:themeColor="text1"/>
          <w:sz w:val="22"/>
          <w:szCs w:val="22"/>
          <w:shd w:val="clear" w:color="auto" w:fill="FFFFFF"/>
        </w:rPr>
        <w:t>Ghodsi, M. (201</w:t>
      </w:r>
      <w:r w:rsidR="001A3BCA">
        <w:rPr>
          <w:rFonts w:ascii="Times New Roman" w:hAnsi="Times New Roman" w:cs="Times New Roman"/>
          <w:color w:val="000000" w:themeColor="text1"/>
          <w:sz w:val="22"/>
          <w:szCs w:val="22"/>
          <w:shd w:val="clear" w:color="auto" w:fill="FFFFFF"/>
        </w:rPr>
        <w:t>6</w:t>
      </w:r>
      <w:r w:rsidRPr="00765279">
        <w:rPr>
          <w:rFonts w:ascii="Times New Roman" w:hAnsi="Times New Roman" w:cs="Times New Roman"/>
          <w:color w:val="000000" w:themeColor="text1"/>
          <w:sz w:val="22"/>
          <w:szCs w:val="22"/>
          <w:shd w:val="clear" w:color="auto" w:fill="FFFFFF"/>
        </w:rPr>
        <w:t xml:space="preserve">) </w:t>
      </w:r>
      <w:r w:rsidRPr="00765279">
        <w:rPr>
          <w:rFonts w:ascii="Times New Roman" w:hAnsi="Times New Roman" w:cs="Times New Roman"/>
          <w:color w:val="000000" w:themeColor="text1"/>
          <w:sz w:val="22"/>
          <w:szCs w:val="22"/>
        </w:rPr>
        <w:t>Determinants of specific trade concerns raised on technical barriers to trade EU versus non-EU</w:t>
      </w:r>
      <w:r w:rsidR="00583496" w:rsidRPr="00765279">
        <w:rPr>
          <w:rFonts w:ascii="Times New Roman" w:hAnsi="Times New Roman" w:cs="Times New Roman"/>
          <w:color w:val="000000" w:themeColor="text1"/>
          <w:sz w:val="22"/>
          <w:szCs w:val="22"/>
          <w:shd w:val="clear" w:color="auto" w:fill="FFFFFF"/>
        </w:rPr>
        <w:t>.</w:t>
      </w:r>
      <w:r w:rsidR="00A25961" w:rsidRPr="00765279">
        <w:rPr>
          <w:rFonts w:ascii="Times New Roman" w:hAnsi="Times New Roman" w:cs="Times New Roman"/>
          <w:color w:val="000000" w:themeColor="text1"/>
          <w:sz w:val="22"/>
          <w:szCs w:val="22"/>
          <w:shd w:val="clear" w:color="auto" w:fill="FFFFFF"/>
        </w:rPr>
        <w:t xml:space="preserve"> </w:t>
      </w:r>
      <w:proofErr w:type="spellStart"/>
      <w:r w:rsidR="00A25961" w:rsidRPr="00765279">
        <w:rPr>
          <w:rFonts w:ascii="Times New Roman" w:hAnsi="Times New Roman" w:cs="Times New Roman"/>
          <w:color w:val="000000" w:themeColor="text1"/>
          <w:sz w:val="22"/>
          <w:szCs w:val="22"/>
          <w:shd w:val="clear" w:color="auto" w:fill="FFFFFF"/>
        </w:rPr>
        <w:t>Empirica</w:t>
      </w:r>
      <w:proofErr w:type="spellEnd"/>
      <w:r w:rsidR="00A25961" w:rsidRPr="00765279">
        <w:rPr>
          <w:rFonts w:ascii="Times New Roman" w:hAnsi="Times New Roman" w:cs="Times New Roman"/>
          <w:color w:val="000000" w:themeColor="text1"/>
          <w:sz w:val="22"/>
          <w:szCs w:val="22"/>
          <w:shd w:val="clear" w:color="auto" w:fill="FFFFFF"/>
        </w:rPr>
        <w:t>.</w:t>
      </w:r>
      <w:r w:rsidRPr="00765279">
        <w:rPr>
          <w:rFonts w:ascii="Times New Roman" w:hAnsi="Times New Roman" w:cs="Times New Roman"/>
          <w:color w:val="000000" w:themeColor="text1"/>
          <w:sz w:val="22"/>
          <w:szCs w:val="22"/>
          <w:shd w:val="clear" w:color="auto" w:fill="FFFFFF"/>
        </w:rPr>
        <w:t> 45(1): 83-128.</w:t>
      </w:r>
    </w:p>
    <w:p w14:paraId="1430A2ED" w14:textId="77777777" w:rsidR="00843209"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rPr>
      </w:pPr>
      <w:r w:rsidRPr="00765279">
        <w:rPr>
          <w:rFonts w:ascii="Times New Roman" w:hAnsi="Times New Roman" w:cs="Times New Roman"/>
          <w:color w:val="000000" w:themeColor="text1"/>
          <w:sz w:val="22"/>
          <w:szCs w:val="22"/>
          <w:shd w:val="clear" w:color="auto" w:fill="FFFFFF"/>
        </w:rPr>
        <w:t xml:space="preserve">Godfrey L.G. (1978). Testing against general autoregressive and moving average error models when the regressors include lagged dependent variables. </w:t>
      </w:r>
      <w:proofErr w:type="spellStart"/>
      <w:r w:rsidRPr="00765279">
        <w:rPr>
          <w:rFonts w:ascii="Times New Roman" w:hAnsi="Times New Roman" w:cs="Times New Roman"/>
          <w:color w:val="000000" w:themeColor="text1"/>
          <w:sz w:val="22"/>
          <w:szCs w:val="22"/>
          <w:shd w:val="clear" w:color="auto" w:fill="FFFFFF"/>
        </w:rPr>
        <w:t>Econometrica</w:t>
      </w:r>
      <w:proofErr w:type="spellEnd"/>
      <w:r w:rsidRPr="00765279">
        <w:rPr>
          <w:rFonts w:ascii="Times New Roman" w:hAnsi="Times New Roman" w:cs="Times New Roman"/>
          <w:color w:val="000000" w:themeColor="text1"/>
          <w:sz w:val="22"/>
          <w:szCs w:val="22"/>
          <w:shd w:val="clear" w:color="auto" w:fill="FFFFFF"/>
        </w:rPr>
        <w:t>, 46(6), 1293–1301.</w:t>
      </w:r>
    </w:p>
    <w:p w14:paraId="28E729B4" w14:textId="77777777" w:rsidR="00843209"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rPr>
      </w:pPr>
      <w:proofErr w:type="spellStart"/>
      <w:r w:rsidRPr="00765279">
        <w:rPr>
          <w:rFonts w:ascii="Times New Roman" w:hAnsi="Times New Roman" w:cs="Times New Roman"/>
          <w:kern w:val="0"/>
          <w:sz w:val="22"/>
          <w:szCs w:val="22"/>
        </w:rPr>
        <w:t>Gozlan</w:t>
      </w:r>
      <w:proofErr w:type="spellEnd"/>
      <w:r w:rsidRPr="00765279">
        <w:rPr>
          <w:rFonts w:ascii="Times New Roman" w:hAnsi="Times New Roman" w:cs="Times New Roman"/>
          <w:kern w:val="0"/>
          <w:sz w:val="22"/>
          <w:szCs w:val="22"/>
        </w:rPr>
        <w:t>, E., Lochard, J., (2024) Do Preferential Trade Agreements Matter for Biodiversity Conservation? February 2024.</w:t>
      </w:r>
    </w:p>
    <w:p w14:paraId="5E1A1EB4" w14:textId="2F7818D6" w:rsidR="00715DB7" w:rsidRPr="00765279" w:rsidRDefault="00715DB7" w:rsidP="00FF6E2B">
      <w:pPr>
        <w:autoSpaceDE w:val="0"/>
        <w:autoSpaceDN w:val="0"/>
        <w:adjustRightInd w:val="0"/>
        <w:spacing w:before="120"/>
        <w:ind w:right="-1" w:firstLine="142"/>
        <w:jc w:val="both"/>
        <w:rPr>
          <w:rFonts w:ascii="Times New Roman" w:hAnsi="Times New Roman" w:cs="Times New Roman"/>
          <w:kern w:val="0"/>
          <w:sz w:val="21"/>
          <w:szCs w:val="21"/>
          <w14:ligatures w14:val="none"/>
        </w:rPr>
      </w:pPr>
      <w:proofErr w:type="spellStart"/>
      <w:r w:rsidRPr="00765279">
        <w:rPr>
          <w:rFonts w:ascii="Times New Roman" w:eastAsia="Aptos" w:hAnsi="Times New Roman" w:cs="Times New Roman"/>
          <w:sz w:val="22"/>
          <w:szCs w:val="22"/>
          <w:lang w:val="en-GB"/>
        </w:rPr>
        <w:t>Hergelegiu</w:t>
      </w:r>
      <w:proofErr w:type="spellEnd"/>
      <w:r w:rsidRPr="00765279">
        <w:rPr>
          <w:rFonts w:ascii="Times New Roman" w:hAnsi="Times New Roman" w:cs="Times New Roman"/>
          <w:kern w:val="0"/>
          <w:sz w:val="22"/>
          <w:szCs w:val="22"/>
          <w14:ligatures w14:val="none"/>
        </w:rPr>
        <w:t xml:space="preserve">, </w:t>
      </w:r>
      <w:r w:rsidR="00EA0085" w:rsidRPr="00765279">
        <w:rPr>
          <w:rFonts w:ascii="Times New Roman" w:hAnsi="Times New Roman" w:cs="Times New Roman"/>
          <w:kern w:val="0"/>
          <w:sz w:val="22"/>
          <w:szCs w:val="22"/>
          <w14:ligatures w14:val="none"/>
        </w:rPr>
        <w:t>C. (</w:t>
      </w:r>
      <w:r w:rsidRPr="00765279">
        <w:rPr>
          <w:rFonts w:ascii="Times New Roman" w:hAnsi="Times New Roman" w:cs="Times New Roman"/>
          <w:kern w:val="0"/>
          <w:sz w:val="22"/>
          <w:szCs w:val="22"/>
          <w14:ligatures w14:val="none"/>
        </w:rPr>
        <w:t>2017</w:t>
      </w:r>
      <w:r w:rsidR="00EA0085" w:rsidRPr="00765279">
        <w:rPr>
          <w:rFonts w:ascii="Times New Roman" w:hAnsi="Times New Roman" w:cs="Times New Roman"/>
          <w:kern w:val="0"/>
          <w:sz w:val="22"/>
          <w:szCs w:val="22"/>
          <w14:ligatures w14:val="none"/>
        </w:rPr>
        <w:t>) The Political Economy of Non-Tariff Measures, The World Economy, 1-25.</w:t>
      </w:r>
    </w:p>
    <w:p w14:paraId="47379C6E" w14:textId="41A12520" w:rsidR="00843209"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14:ligatures w14:val="none"/>
        </w:rPr>
      </w:pPr>
      <w:proofErr w:type="spellStart"/>
      <w:r w:rsidRPr="00765279">
        <w:rPr>
          <w:rFonts w:ascii="Times New Roman" w:hAnsi="Times New Roman" w:cs="Times New Roman"/>
          <w:kern w:val="0"/>
          <w:sz w:val="22"/>
          <w:szCs w:val="22"/>
          <w14:ligatures w14:val="none"/>
        </w:rPr>
        <w:t>Im</w:t>
      </w:r>
      <w:proofErr w:type="spellEnd"/>
      <w:r w:rsidRPr="00765279">
        <w:rPr>
          <w:rFonts w:ascii="Times New Roman" w:hAnsi="Times New Roman" w:cs="Times New Roman"/>
          <w:kern w:val="0"/>
          <w:sz w:val="22"/>
          <w:szCs w:val="22"/>
          <w14:ligatures w14:val="none"/>
        </w:rPr>
        <w:t xml:space="preserve"> KS, </w:t>
      </w:r>
      <w:proofErr w:type="spellStart"/>
      <w:r w:rsidRPr="00765279">
        <w:rPr>
          <w:rFonts w:ascii="Times New Roman" w:hAnsi="Times New Roman" w:cs="Times New Roman"/>
          <w:kern w:val="0"/>
          <w:sz w:val="22"/>
          <w:szCs w:val="22"/>
          <w14:ligatures w14:val="none"/>
        </w:rPr>
        <w:t>Pesaran</w:t>
      </w:r>
      <w:proofErr w:type="spellEnd"/>
      <w:r w:rsidRPr="00765279">
        <w:rPr>
          <w:rFonts w:ascii="Times New Roman" w:hAnsi="Times New Roman" w:cs="Times New Roman"/>
          <w:kern w:val="0"/>
          <w:sz w:val="22"/>
          <w:szCs w:val="22"/>
          <w14:ligatures w14:val="none"/>
        </w:rPr>
        <w:t xml:space="preserve"> MH, Shin Y (2003). Testing for unit roots in heterogenous panels. Journal of Econometrics, 115(1), 53-74.</w:t>
      </w:r>
    </w:p>
    <w:p w14:paraId="3B791116" w14:textId="77777777" w:rsidR="00843209"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14:ligatures w14:val="none"/>
        </w:rPr>
      </w:pPr>
      <w:r w:rsidRPr="00765279">
        <w:rPr>
          <w:rFonts w:ascii="Times New Roman" w:hAnsi="Times New Roman" w:cs="Times New Roman"/>
          <w:kern w:val="0"/>
          <w:sz w:val="22"/>
          <w:szCs w:val="22"/>
          <w14:ligatures w14:val="none"/>
        </w:rPr>
        <w:t>Kelejian, H. H., Prucha, I.R. (1999). A generalized moments estimator for the autoregressive parameter in a spatial model. International Economic Review, 40(2), 509–533.</w:t>
      </w:r>
    </w:p>
    <w:p w14:paraId="2E914CC3" w14:textId="77777777" w:rsidR="00843209"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14:ligatures w14:val="none"/>
        </w:rPr>
      </w:pPr>
      <w:r w:rsidRPr="00765279">
        <w:rPr>
          <w:rFonts w:ascii="Times New Roman" w:hAnsi="Times New Roman" w:cs="Times New Roman"/>
          <w:kern w:val="0"/>
          <w:sz w:val="22"/>
          <w:szCs w:val="22"/>
          <w14:ligatures w14:val="none"/>
        </w:rPr>
        <w:t>Levin A, Lin CF, Chu CSJ (2002). Unit root tests in panel data: asymptotic and finite-sample properties. Journal of Econometrics, 108, 1-24.</w:t>
      </w:r>
    </w:p>
    <w:p w14:paraId="173AB187" w14:textId="77777777" w:rsidR="00843209"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lang w:val="en-GB"/>
        </w:rPr>
      </w:pPr>
      <w:r w:rsidRPr="00765279">
        <w:rPr>
          <w:rFonts w:ascii="Times New Roman" w:hAnsi="Times New Roman" w:cs="Times New Roman"/>
          <w:kern w:val="0"/>
          <w:sz w:val="22"/>
          <w:szCs w:val="22"/>
          <w14:ligatures w14:val="none"/>
        </w:rPr>
        <w:t>Longo, S.; York, R. (2008) Agricultural exports and the environment: A cross-national study of fertilizer and pesticide consumption.  Rural Sociology, 73, 82–104.</w:t>
      </w:r>
    </w:p>
    <w:p w14:paraId="41B955F8" w14:textId="77777777" w:rsidR="00843209"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14:ligatures w14:val="none"/>
        </w:rPr>
      </w:pPr>
      <w:r w:rsidRPr="00765279">
        <w:rPr>
          <w:rFonts w:ascii="Times New Roman" w:hAnsi="Times New Roman" w:cs="Times New Roman"/>
          <w:kern w:val="0"/>
          <w:sz w:val="22"/>
          <w:szCs w:val="22"/>
          <w14:ligatures w14:val="none"/>
        </w:rPr>
        <w:lastRenderedPageBreak/>
        <w:t xml:space="preserve">Martínez-Zarzoso, Inmaculada; Oueslati, Walid (2016): Are deep and comprehensive regional trade agreements helping to reduce air pollution? Discussion Papers, No. 292, University of Göttingen, Center for European, Governance and Economic Development Research, Göttingen </w:t>
      </w:r>
      <w:r w:rsidRPr="00765279">
        <w:rPr>
          <w:rFonts w:ascii="Times New Roman" w:hAnsi="Times New Roman" w:cs="Times New Roman"/>
          <w:color w:val="0D0D0D" w:themeColor="text1" w:themeTint="F2"/>
          <w:bdr w:val="single" w:sz="2" w:space="0" w:color="E5E7EB" w:frame="1"/>
        </w:rPr>
        <w:t>Núñez-Rocha</w:t>
      </w:r>
    </w:p>
    <w:p w14:paraId="7E23E155" w14:textId="77777777" w:rsidR="00843209" w:rsidRPr="00765279" w:rsidRDefault="00000000" w:rsidP="00FF6E2B">
      <w:pPr>
        <w:autoSpaceDE w:val="0"/>
        <w:autoSpaceDN w:val="0"/>
        <w:adjustRightInd w:val="0"/>
        <w:spacing w:before="120"/>
        <w:ind w:right="-1" w:firstLine="142"/>
        <w:jc w:val="both"/>
        <w:rPr>
          <w:rFonts w:ascii="Times New Roman" w:hAnsi="Times New Roman" w:cs="Times New Roman"/>
          <w:kern w:val="0"/>
          <w:sz w:val="22"/>
          <w:szCs w:val="22"/>
          <w14:ligatures w14:val="none"/>
        </w:rPr>
      </w:pPr>
      <w:r w:rsidRPr="00765279">
        <w:rPr>
          <w:rFonts w:ascii="Times New Roman" w:hAnsi="Times New Roman" w:cs="Times New Roman"/>
          <w:color w:val="0D0D0D" w:themeColor="text1" w:themeTint="F2"/>
          <w:kern w:val="0"/>
          <w:sz w:val="22"/>
          <w:szCs w:val="22"/>
          <w14:ligatures w14:val="none"/>
        </w:rPr>
        <w:t xml:space="preserve">Martinez Zarzoso, I. Nunez-Rocha, T., Zaki, C., (2023) </w:t>
      </w:r>
      <w:r w:rsidRPr="00765279">
        <w:rPr>
          <w:rFonts w:ascii="Times New Roman" w:hAnsi="Times New Roman" w:cs="Times New Roman"/>
          <w:color w:val="0D0D0D" w:themeColor="text1" w:themeTint="F2"/>
          <w:sz w:val="22"/>
          <w:szCs w:val="22"/>
        </w:rPr>
        <w:t>Impact of environmental regulations and environmental provisions on trade</w:t>
      </w:r>
      <w:r w:rsidRPr="00765279">
        <w:rPr>
          <w:rFonts w:ascii="Times New Roman" w:hAnsi="Times New Roman" w:cs="Times New Roman"/>
          <w:kern w:val="0"/>
          <w:sz w:val="22"/>
          <w:szCs w:val="22"/>
          <w14:ligatures w14:val="none"/>
        </w:rPr>
        <w:t xml:space="preserve">. Revue </w:t>
      </w:r>
      <w:proofErr w:type="spellStart"/>
      <w:r w:rsidRPr="00765279">
        <w:rPr>
          <w:rFonts w:ascii="Times New Roman" w:hAnsi="Times New Roman" w:cs="Times New Roman"/>
          <w:kern w:val="0"/>
          <w:sz w:val="22"/>
          <w:szCs w:val="22"/>
          <w14:ligatures w14:val="none"/>
        </w:rPr>
        <w:t>d’èconomie</w:t>
      </w:r>
      <w:proofErr w:type="spellEnd"/>
      <w:r w:rsidRPr="00765279">
        <w:rPr>
          <w:rFonts w:ascii="Times New Roman" w:hAnsi="Times New Roman" w:cs="Times New Roman"/>
          <w:kern w:val="0"/>
          <w:sz w:val="22"/>
          <w:szCs w:val="22"/>
          <w14:ligatures w14:val="none"/>
        </w:rPr>
        <w:t xml:space="preserve"> du </w:t>
      </w:r>
      <w:proofErr w:type="spellStart"/>
      <w:r w:rsidRPr="00765279">
        <w:rPr>
          <w:rFonts w:ascii="Times New Roman" w:hAnsi="Times New Roman" w:cs="Times New Roman"/>
          <w:kern w:val="0"/>
          <w:sz w:val="22"/>
          <w:szCs w:val="22"/>
          <w14:ligatures w14:val="none"/>
        </w:rPr>
        <w:t>développement</w:t>
      </w:r>
      <w:proofErr w:type="spellEnd"/>
      <w:r w:rsidRPr="00765279">
        <w:rPr>
          <w:rFonts w:ascii="Times New Roman" w:hAnsi="Times New Roman" w:cs="Times New Roman"/>
          <w:kern w:val="0"/>
          <w:sz w:val="22"/>
          <w:szCs w:val="22"/>
          <w14:ligatures w14:val="none"/>
        </w:rPr>
        <w:t>, 31 (3): 109-115.</w:t>
      </w:r>
    </w:p>
    <w:p w14:paraId="41887CB4" w14:textId="77777777" w:rsidR="00843209" w:rsidRPr="00765279" w:rsidRDefault="00000000" w:rsidP="00FF6E2B">
      <w:pPr>
        <w:autoSpaceDE w:val="0"/>
        <w:autoSpaceDN w:val="0"/>
        <w:adjustRightInd w:val="0"/>
        <w:spacing w:before="120"/>
        <w:ind w:right="-7" w:firstLine="142"/>
        <w:jc w:val="both"/>
        <w:rPr>
          <w:rFonts w:ascii="Times New Roman" w:hAnsi="Times New Roman" w:cs="Times New Roman"/>
          <w:sz w:val="22"/>
          <w:szCs w:val="22"/>
        </w:rPr>
      </w:pPr>
      <w:r w:rsidRPr="00765279">
        <w:rPr>
          <w:rFonts w:ascii="Times New Roman" w:hAnsi="Times New Roman" w:cs="Times New Roman"/>
          <w:sz w:val="22"/>
          <w:szCs w:val="22"/>
        </w:rPr>
        <w:t xml:space="preserve">Monteiro, J. A. Trachtman J.P. (2020). “Environmental Laws” In Handbook of Deep Trade Agreements, edited by Aaditya Mattoo, Nadia Rocha, and Michele Ruta. World Bank, Washington, DC. </w:t>
      </w:r>
    </w:p>
    <w:p w14:paraId="1202B0AC" w14:textId="77777777" w:rsidR="00F3737C" w:rsidRDefault="00000000" w:rsidP="00F3737C">
      <w:pPr>
        <w:autoSpaceDE w:val="0"/>
        <w:autoSpaceDN w:val="0"/>
        <w:adjustRightInd w:val="0"/>
        <w:spacing w:before="120"/>
        <w:ind w:right="134" w:firstLine="142"/>
        <w:jc w:val="both"/>
        <w:rPr>
          <w:rFonts w:ascii="Times New Roman" w:hAnsi="Times New Roman" w:cs="Times New Roman"/>
          <w:kern w:val="0"/>
          <w:sz w:val="22"/>
          <w:szCs w:val="22"/>
          <w:lang w:val="en-GB"/>
        </w:rPr>
      </w:pPr>
      <w:r w:rsidRPr="00765279">
        <w:rPr>
          <w:rFonts w:ascii="Times New Roman" w:hAnsi="Times New Roman" w:cs="Times New Roman"/>
          <w:kern w:val="0"/>
          <w:sz w:val="22"/>
          <w:szCs w:val="22"/>
          <w:lang w:val="en-GB"/>
        </w:rPr>
        <w:t xml:space="preserve">Nie, F., Jian Li, Xiang Bi, </w:t>
      </w:r>
      <w:proofErr w:type="spellStart"/>
      <w:r w:rsidRPr="00765279">
        <w:rPr>
          <w:rFonts w:ascii="Times New Roman" w:hAnsi="Times New Roman" w:cs="Times New Roman"/>
          <w:kern w:val="0"/>
          <w:sz w:val="22"/>
          <w:szCs w:val="22"/>
          <w:lang w:val="en-GB"/>
        </w:rPr>
        <w:t>Gucheng</w:t>
      </w:r>
      <w:proofErr w:type="spellEnd"/>
      <w:r w:rsidRPr="00765279">
        <w:rPr>
          <w:rFonts w:ascii="Times New Roman" w:hAnsi="Times New Roman" w:cs="Times New Roman"/>
          <w:kern w:val="0"/>
          <w:sz w:val="22"/>
          <w:szCs w:val="22"/>
          <w:lang w:val="en-GB"/>
        </w:rPr>
        <w:t xml:space="preserve"> Li, (2022) Agricultural trade liberalization and domestic fertilizer use: Evidence from China-ASEAN free trade agreement. Ecological Economics. 195.</w:t>
      </w:r>
    </w:p>
    <w:p w14:paraId="712A6099" w14:textId="43398DD3" w:rsidR="00F3737C" w:rsidRPr="00F3737C" w:rsidRDefault="00F3737C" w:rsidP="00F3737C">
      <w:pPr>
        <w:autoSpaceDE w:val="0"/>
        <w:autoSpaceDN w:val="0"/>
        <w:adjustRightInd w:val="0"/>
        <w:spacing w:before="120"/>
        <w:ind w:right="134" w:firstLine="142"/>
        <w:jc w:val="both"/>
        <w:rPr>
          <w:rFonts w:ascii="Times New Roman" w:hAnsi="Times New Roman" w:cs="Times New Roman"/>
          <w:kern w:val="0"/>
          <w:sz w:val="22"/>
          <w:szCs w:val="22"/>
          <w:lang w:val="en-GB"/>
        </w:rPr>
      </w:pPr>
      <w:r w:rsidRPr="00F3737C">
        <w:rPr>
          <w:rFonts w:ascii="Times New Roman" w:hAnsi="Times New Roman" w:cs="Times New Roman"/>
          <w:kern w:val="0"/>
          <w:sz w:val="22"/>
          <w:szCs w:val="22"/>
          <w:lang w:val="en-GB"/>
        </w:rPr>
        <w:t xml:space="preserve">Orefice, G. (2017) </w:t>
      </w:r>
      <w:r w:rsidRPr="00E94301">
        <w:rPr>
          <w:rFonts w:ascii="Times New Roman" w:hAnsi="Times New Roman" w:cs="Times New Roman"/>
          <w:kern w:val="0"/>
          <w:sz w:val="22"/>
          <w:szCs w:val="22"/>
          <w14:ligatures w14:val="none"/>
        </w:rPr>
        <w:t>Non-Tariff Measures, Specific Trade Concerns and Tariff Reduction. The World Economy.  1807-1835</w:t>
      </w:r>
    </w:p>
    <w:p w14:paraId="50E35C85" w14:textId="0C4061DF" w:rsidR="004A425D" w:rsidRPr="00765279" w:rsidRDefault="00000000" w:rsidP="00F3737C">
      <w:pPr>
        <w:autoSpaceDE w:val="0"/>
        <w:autoSpaceDN w:val="0"/>
        <w:adjustRightInd w:val="0"/>
        <w:spacing w:before="120"/>
        <w:ind w:right="-7" w:firstLine="142"/>
        <w:jc w:val="both"/>
        <w:rPr>
          <w:rFonts w:ascii="Times New Roman" w:hAnsi="Times New Roman" w:cs="Times New Roman"/>
          <w:kern w:val="0"/>
          <w:sz w:val="22"/>
          <w:szCs w:val="22"/>
          <w:lang w:val="en-GB"/>
        </w:rPr>
      </w:pPr>
      <w:proofErr w:type="spellStart"/>
      <w:r w:rsidRPr="00765279">
        <w:rPr>
          <w:rFonts w:ascii="Times New Roman" w:hAnsi="Times New Roman" w:cs="Times New Roman"/>
          <w:kern w:val="0"/>
          <w:sz w:val="22"/>
          <w:szCs w:val="22"/>
          <w:lang w:val="en-GB"/>
        </w:rPr>
        <w:t>Pesaran</w:t>
      </w:r>
      <w:proofErr w:type="spellEnd"/>
      <w:r w:rsidRPr="00765279">
        <w:rPr>
          <w:rFonts w:ascii="Times New Roman" w:hAnsi="Times New Roman" w:cs="Times New Roman"/>
          <w:kern w:val="0"/>
          <w:sz w:val="22"/>
          <w:szCs w:val="22"/>
          <w:lang w:val="en-GB"/>
        </w:rPr>
        <w:t xml:space="preserve"> MH (2015). Testing Weak Cross-Sectional Dependence in Large Panels. Econometric Reviews, 34(6-10), 1089-1117.</w:t>
      </w:r>
    </w:p>
    <w:p w14:paraId="1AF40F06" w14:textId="77777777" w:rsidR="00C43EFF" w:rsidRPr="00765279" w:rsidRDefault="00000000" w:rsidP="00C43EFF">
      <w:pPr>
        <w:autoSpaceDE w:val="0"/>
        <w:autoSpaceDN w:val="0"/>
        <w:adjustRightInd w:val="0"/>
        <w:spacing w:before="120"/>
        <w:ind w:right="-7" w:firstLine="142"/>
        <w:jc w:val="both"/>
        <w:rPr>
          <w:rFonts w:ascii="Times New Roman" w:hAnsi="Times New Roman" w:cs="Times New Roman"/>
          <w:color w:val="231F20"/>
          <w:kern w:val="0"/>
          <w:sz w:val="22"/>
          <w14:ligatures w14:val="none"/>
        </w:rPr>
      </w:pPr>
      <w:proofErr w:type="spellStart"/>
      <w:r w:rsidRPr="00765279">
        <w:rPr>
          <w:rFonts w:ascii="Times New Roman" w:hAnsi="Times New Roman" w:cs="Times New Roman"/>
          <w:color w:val="231F20"/>
          <w:kern w:val="0"/>
          <w:sz w:val="22"/>
          <w14:ligatures w14:val="none"/>
        </w:rPr>
        <w:t>Pendrill</w:t>
      </w:r>
      <w:proofErr w:type="spellEnd"/>
      <w:r w:rsidRPr="00765279">
        <w:rPr>
          <w:rFonts w:ascii="Times New Roman" w:hAnsi="Times New Roman" w:cs="Times New Roman"/>
          <w:color w:val="231F20"/>
          <w:kern w:val="0"/>
          <w:sz w:val="22"/>
          <w14:ligatures w14:val="none"/>
        </w:rPr>
        <w:t>, F., Persson, U. M., Godar, J., et al. (2019). Agricultural and forestry</w:t>
      </w:r>
      <w:r w:rsidR="00202226" w:rsidRPr="00765279">
        <w:rPr>
          <w:rFonts w:ascii="Times New Roman" w:hAnsi="Times New Roman" w:cs="Times New Roman"/>
          <w:color w:val="231F20"/>
          <w:kern w:val="0"/>
          <w:sz w:val="22"/>
          <w:szCs w:val="22"/>
          <w14:ligatures w14:val="none"/>
        </w:rPr>
        <w:t xml:space="preserve"> </w:t>
      </w:r>
      <w:r w:rsidRPr="00765279">
        <w:rPr>
          <w:rFonts w:ascii="Times New Roman" w:hAnsi="Times New Roman" w:cs="Times New Roman"/>
          <w:color w:val="231F20"/>
          <w:kern w:val="0"/>
          <w:sz w:val="22"/>
          <w14:ligatures w14:val="none"/>
        </w:rPr>
        <w:t>trade drives large share of tropical deforestation emissions. Global Environmental Change, 56, 1–10.</w:t>
      </w:r>
    </w:p>
    <w:p w14:paraId="41503D2F" w14:textId="07B9B7AA" w:rsidR="00256096" w:rsidRDefault="00256096" w:rsidP="00256096">
      <w:pPr>
        <w:autoSpaceDE w:val="0"/>
        <w:autoSpaceDN w:val="0"/>
        <w:adjustRightInd w:val="0"/>
        <w:spacing w:before="120" w:after="120"/>
        <w:ind w:firstLine="142"/>
        <w:jc w:val="both"/>
        <w:rPr>
          <w:rFonts w:ascii="Times New Roman" w:hAnsi="Times New Roman" w:cs="Times New Roman"/>
          <w:kern w:val="0"/>
          <w:sz w:val="22"/>
          <w:szCs w:val="22"/>
          <w:lang w:val="en-GB"/>
        </w:rPr>
      </w:pPr>
      <w:r w:rsidRPr="002671CB">
        <w:rPr>
          <w:rFonts w:ascii="Times New Roman" w:hAnsi="Times New Roman" w:cs="Times New Roman"/>
          <w:kern w:val="0"/>
          <w:sz w:val="22"/>
          <w:szCs w:val="22"/>
          <w:lang w:val="en-GB"/>
        </w:rPr>
        <w:t xml:space="preserve">Sanderson, E. and </w:t>
      </w:r>
      <w:proofErr w:type="spellStart"/>
      <w:r w:rsidRPr="002671CB">
        <w:rPr>
          <w:rFonts w:ascii="Times New Roman" w:hAnsi="Times New Roman" w:cs="Times New Roman"/>
          <w:kern w:val="0"/>
          <w:sz w:val="22"/>
          <w:szCs w:val="22"/>
          <w:lang w:val="en-GB"/>
        </w:rPr>
        <w:t>Windmeijer</w:t>
      </w:r>
      <w:proofErr w:type="spellEnd"/>
      <w:r w:rsidRPr="002671CB">
        <w:rPr>
          <w:rFonts w:ascii="Times New Roman" w:hAnsi="Times New Roman" w:cs="Times New Roman"/>
          <w:kern w:val="0"/>
          <w:sz w:val="22"/>
          <w:szCs w:val="22"/>
          <w:lang w:val="en-GB"/>
        </w:rPr>
        <w:t>, F. (2016). A Weak Instrument F-test in Linear IV Models</w:t>
      </w:r>
      <w:r>
        <w:rPr>
          <w:rFonts w:ascii="Times New Roman" w:hAnsi="Times New Roman" w:cs="Times New Roman"/>
          <w:kern w:val="0"/>
          <w:sz w:val="22"/>
          <w:szCs w:val="22"/>
          <w:lang w:val="en-GB"/>
        </w:rPr>
        <w:t xml:space="preserve"> </w:t>
      </w:r>
      <w:r w:rsidRPr="002671CB">
        <w:rPr>
          <w:rFonts w:ascii="Times New Roman" w:hAnsi="Times New Roman" w:cs="Times New Roman"/>
          <w:kern w:val="0"/>
          <w:sz w:val="22"/>
          <w:szCs w:val="22"/>
          <w:lang w:val="en-GB"/>
        </w:rPr>
        <w:t>with Multiple Endogenous Variables. Journal of Econometrics, 190(2):212 – 221.</w:t>
      </w:r>
    </w:p>
    <w:p w14:paraId="285D8FB7" w14:textId="21F7FA76" w:rsidR="00C2532A" w:rsidRDefault="00C43EFF" w:rsidP="00813948">
      <w:pPr>
        <w:autoSpaceDE w:val="0"/>
        <w:autoSpaceDN w:val="0"/>
        <w:adjustRightInd w:val="0"/>
        <w:spacing w:before="120" w:after="120"/>
        <w:ind w:firstLine="142"/>
        <w:jc w:val="both"/>
        <w:rPr>
          <w:rFonts w:ascii="Times New Roman" w:hAnsi="Times New Roman" w:cs="Times New Roman"/>
          <w:color w:val="231F20"/>
          <w:kern w:val="0"/>
          <w:sz w:val="22"/>
          <w14:ligatures w14:val="none"/>
        </w:rPr>
      </w:pPr>
      <w:r w:rsidRPr="00765279">
        <w:rPr>
          <w:rFonts w:ascii="Times New Roman" w:hAnsi="Times New Roman" w:cs="Times New Roman"/>
          <w:sz w:val="22"/>
          <w:szCs w:val="22"/>
        </w:rPr>
        <w:t>Santeramo, F., Lamon</w:t>
      </w:r>
      <w:r w:rsidR="00F6591F" w:rsidRPr="00765279">
        <w:rPr>
          <w:rFonts w:ascii="Times New Roman" w:hAnsi="Times New Roman" w:cs="Times New Roman"/>
          <w:sz w:val="22"/>
          <w:szCs w:val="22"/>
        </w:rPr>
        <w:t>a</w:t>
      </w:r>
      <w:r w:rsidRPr="00765279">
        <w:rPr>
          <w:rFonts w:ascii="Times New Roman" w:hAnsi="Times New Roman" w:cs="Times New Roman"/>
          <w:sz w:val="22"/>
          <w:szCs w:val="22"/>
        </w:rPr>
        <w:t>ca, E. (2019) The Effects of Non-tariff Measures on Agri-food Trade: A Review and Meta-analysis of Empirical Evidence, Journal of Agricultural Economics, 70 (3) 1-22.</w:t>
      </w:r>
    </w:p>
    <w:p w14:paraId="50517935" w14:textId="2E9F17B7" w:rsidR="00C2532A" w:rsidRPr="00C2532A" w:rsidRDefault="00C2532A" w:rsidP="00C2532A">
      <w:pPr>
        <w:autoSpaceDE w:val="0"/>
        <w:autoSpaceDN w:val="0"/>
        <w:adjustRightInd w:val="0"/>
        <w:spacing w:before="120"/>
        <w:ind w:right="-7" w:firstLine="142"/>
        <w:jc w:val="both"/>
        <w:rPr>
          <w:rFonts w:ascii="Times New Roman" w:hAnsi="Times New Roman" w:cs="Times New Roman"/>
          <w:color w:val="231F20"/>
          <w:kern w:val="0"/>
          <w:sz w:val="22"/>
          <w14:ligatures w14:val="none"/>
        </w:rPr>
      </w:pPr>
      <w:r w:rsidRPr="00C2532A">
        <w:rPr>
          <w:rFonts w:ascii="Times New Roman" w:hAnsi="Times New Roman" w:cs="Times New Roman"/>
          <w:color w:val="000000" w:themeColor="text1"/>
          <w:sz w:val="22"/>
          <w:szCs w:val="22"/>
        </w:rPr>
        <w:t xml:space="preserve">Sorgho, </w:t>
      </w:r>
      <w:r w:rsidRPr="00E94301">
        <w:rPr>
          <w:rFonts w:ascii="Times New Roman" w:hAnsi="Times New Roman" w:cs="Times New Roman"/>
          <w:color w:val="000000" w:themeColor="text1"/>
          <w:kern w:val="0"/>
          <w:sz w:val="22"/>
          <w:szCs w:val="22"/>
          <w14:ligatures w14:val="none"/>
        </w:rPr>
        <w:t>Z., J. Tharakan (2022) Do PTAs with Environmental Provisions Reduce GHG</w:t>
      </w:r>
    </w:p>
    <w:p w14:paraId="6F1C7E50" w14:textId="03A0AAFE" w:rsidR="00C2532A" w:rsidRPr="00E94301" w:rsidRDefault="00C2532A" w:rsidP="00C2532A">
      <w:pPr>
        <w:autoSpaceDE w:val="0"/>
        <w:autoSpaceDN w:val="0"/>
        <w:adjustRightInd w:val="0"/>
        <w:rPr>
          <w:rFonts w:ascii="Times New Roman" w:hAnsi="Times New Roman" w:cs="Times New Roman"/>
          <w:color w:val="000000" w:themeColor="text1"/>
          <w:kern w:val="0"/>
          <w:sz w:val="22"/>
          <w:szCs w:val="22"/>
          <w14:ligatures w14:val="none"/>
        </w:rPr>
      </w:pPr>
      <w:r w:rsidRPr="00E94301">
        <w:rPr>
          <w:rFonts w:ascii="Times New Roman" w:hAnsi="Times New Roman" w:cs="Times New Roman"/>
          <w:color w:val="000000" w:themeColor="text1"/>
          <w:kern w:val="0"/>
          <w:sz w:val="22"/>
          <w:szCs w:val="22"/>
          <w14:ligatures w14:val="none"/>
        </w:rPr>
        <w:t xml:space="preserve">Emissions? Distinguishing the Role of Climate‑Related Provision </w:t>
      </w:r>
      <w:proofErr w:type="spellStart"/>
      <w:r w:rsidRPr="00E94301">
        <w:rPr>
          <w:rFonts w:ascii="Times New Roman" w:hAnsi="Times New Roman" w:cs="Times New Roman"/>
          <w:color w:val="000000" w:themeColor="text1"/>
          <w:kern w:val="0"/>
          <w:sz w:val="22"/>
          <w:szCs w:val="22"/>
          <w14:ligatures w14:val="none"/>
        </w:rPr>
        <w:t>sEnvironmental</w:t>
      </w:r>
      <w:proofErr w:type="spellEnd"/>
      <w:r w:rsidRPr="00E94301">
        <w:rPr>
          <w:rFonts w:ascii="Times New Roman" w:hAnsi="Times New Roman" w:cs="Times New Roman"/>
          <w:color w:val="000000" w:themeColor="text1"/>
          <w:kern w:val="0"/>
          <w:sz w:val="22"/>
          <w:szCs w:val="22"/>
          <w14:ligatures w14:val="none"/>
        </w:rPr>
        <w:t xml:space="preserve"> and Resource Economics 83:709–732</w:t>
      </w:r>
    </w:p>
    <w:p w14:paraId="1E69628A" w14:textId="4ADBD8E4" w:rsidR="00843209" w:rsidRPr="00765279" w:rsidRDefault="00000000" w:rsidP="00A834D3">
      <w:pPr>
        <w:autoSpaceDE w:val="0"/>
        <w:autoSpaceDN w:val="0"/>
        <w:adjustRightInd w:val="0"/>
        <w:spacing w:before="120"/>
        <w:ind w:right="-7" w:firstLine="142"/>
        <w:jc w:val="both"/>
        <w:rPr>
          <w:rFonts w:ascii="Times New Roman" w:hAnsi="Times New Roman" w:cs="Times New Roman"/>
          <w:sz w:val="22"/>
          <w:szCs w:val="22"/>
        </w:rPr>
      </w:pPr>
      <w:proofErr w:type="spellStart"/>
      <w:r w:rsidRPr="00765279">
        <w:rPr>
          <w:rFonts w:ascii="Times New Roman" w:hAnsi="Times New Roman" w:cs="Times New Roman"/>
          <w:sz w:val="22"/>
          <w:szCs w:val="22"/>
        </w:rPr>
        <w:t>Velut</w:t>
      </w:r>
      <w:proofErr w:type="spellEnd"/>
      <w:r w:rsidRPr="00765279">
        <w:rPr>
          <w:rFonts w:ascii="Times New Roman" w:hAnsi="Times New Roman" w:cs="Times New Roman"/>
          <w:sz w:val="22"/>
          <w:szCs w:val="22"/>
        </w:rPr>
        <w:t xml:space="preserve">, JB., Baeza-Breinbauer, D., De </w:t>
      </w:r>
      <w:proofErr w:type="spellStart"/>
      <w:r w:rsidRPr="00765279">
        <w:rPr>
          <w:rFonts w:ascii="Times New Roman" w:hAnsi="Times New Roman" w:cs="Times New Roman"/>
          <w:sz w:val="22"/>
          <w:szCs w:val="22"/>
        </w:rPr>
        <w:t>Bruijne</w:t>
      </w:r>
      <w:proofErr w:type="spellEnd"/>
      <w:r w:rsidRPr="00765279">
        <w:rPr>
          <w:rFonts w:ascii="Times New Roman" w:hAnsi="Times New Roman" w:cs="Times New Roman"/>
          <w:sz w:val="22"/>
          <w:szCs w:val="22"/>
        </w:rPr>
        <w:t xml:space="preserve">, M., Garnizova, E., Jones, M., Kolben, K., </w:t>
      </w:r>
      <w:proofErr w:type="spellStart"/>
      <w:r w:rsidRPr="00765279">
        <w:rPr>
          <w:rFonts w:ascii="Times New Roman" w:hAnsi="Times New Roman" w:cs="Times New Roman"/>
          <w:sz w:val="22"/>
          <w:szCs w:val="22"/>
        </w:rPr>
        <w:t>Oules</w:t>
      </w:r>
      <w:proofErr w:type="spellEnd"/>
      <w:r w:rsidRPr="00765279">
        <w:rPr>
          <w:rFonts w:ascii="Times New Roman" w:hAnsi="Times New Roman" w:cs="Times New Roman"/>
          <w:sz w:val="22"/>
          <w:szCs w:val="22"/>
        </w:rPr>
        <w:t xml:space="preserve">, L., Rouas, V., Tigere Pittet, F., Zamparutti, T. (2022) Comparative Analysis of Trade and Sustainable Development Provisions in Free Trade Agreements, London School of Economics </w:t>
      </w:r>
      <w:hyperlink r:id="rId12" w:history="1">
        <w:r w:rsidR="00843209" w:rsidRPr="00765279">
          <w:rPr>
            <w:rStyle w:val="Collegamentoipertestuale"/>
            <w:rFonts w:ascii="Times New Roman" w:hAnsi="Times New Roman" w:cs="Times New Roman"/>
            <w:sz w:val="22"/>
            <w:szCs w:val="22"/>
          </w:rPr>
          <w:t>https://www.lse.ac.uk/business/consulting/assets/documents/TSD-Final-Report-Feb-2022.pdf</w:t>
        </w:r>
      </w:hyperlink>
    </w:p>
    <w:p w14:paraId="4BF5FD1B" w14:textId="77777777" w:rsidR="00843209" w:rsidRPr="00765279" w:rsidRDefault="00000000" w:rsidP="00A834D3">
      <w:pPr>
        <w:autoSpaceDE w:val="0"/>
        <w:autoSpaceDN w:val="0"/>
        <w:adjustRightInd w:val="0"/>
        <w:spacing w:before="120"/>
        <w:ind w:right="-7" w:firstLine="142"/>
        <w:jc w:val="both"/>
        <w:rPr>
          <w:rFonts w:ascii="Times New Roman" w:hAnsi="Times New Roman" w:cs="Times New Roman"/>
          <w:sz w:val="22"/>
          <w:szCs w:val="22"/>
        </w:rPr>
      </w:pPr>
      <w:r w:rsidRPr="00765279">
        <w:rPr>
          <w:rFonts w:ascii="Times New Roman" w:hAnsi="Times New Roman" w:cs="Times New Roman"/>
          <w:color w:val="000000" w:themeColor="text1"/>
          <w:sz w:val="22"/>
          <w:szCs w:val="22"/>
        </w:rPr>
        <w:t xml:space="preserve">Williams S., Shumway C. R. (2000) Trade Liberalization and Agricultural Chemical Use: United States and Mexico, </w:t>
      </w:r>
      <w:r w:rsidRPr="00765279">
        <w:rPr>
          <w:rStyle w:val="delimited-listitem"/>
          <w:rFonts w:ascii="Times New Roman" w:hAnsi="Times New Roman" w:cs="Times New Roman"/>
          <w:color w:val="000000" w:themeColor="text1"/>
          <w:sz w:val="22"/>
          <w:szCs w:val="22"/>
        </w:rPr>
        <w:t xml:space="preserve">American Journal of Agricultural Economics, </w:t>
      </w:r>
      <w:r w:rsidRPr="00765279">
        <w:rPr>
          <w:rFonts w:ascii="Times New Roman" w:eastAsiaTheme="majorEastAsia" w:hAnsi="Times New Roman" w:cs="Times New Roman"/>
          <w:color w:val="000000" w:themeColor="text1"/>
          <w:sz w:val="22"/>
          <w:szCs w:val="22"/>
        </w:rPr>
        <w:t>(</w:t>
      </w:r>
      <w:r w:rsidRPr="00765279">
        <w:rPr>
          <w:rStyle w:val="val"/>
          <w:rFonts w:ascii="Times New Roman" w:hAnsi="Times New Roman" w:cs="Times New Roman"/>
          <w:color w:val="000000" w:themeColor="text1"/>
          <w:sz w:val="22"/>
          <w:szCs w:val="22"/>
        </w:rPr>
        <w:t>82</w:t>
      </w:r>
      <w:r w:rsidRPr="00765279">
        <w:rPr>
          <w:rFonts w:ascii="Times New Roman" w:eastAsiaTheme="majorEastAsia" w:hAnsi="Times New Roman" w:cs="Times New Roman"/>
          <w:color w:val="000000" w:themeColor="text1"/>
          <w:sz w:val="22"/>
          <w:szCs w:val="22"/>
        </w:rPr>
        <w:t>),</w:t>
      </w:r>
      <w:r w:rsidRPr="00765279">
        <w:rPr>
          <w:rStyle w:val="val"/>
          <w:rFonts w:ascii="Times New Roman" w:eastAsiaTheme="majorEastAsia" w:hAnsi="Times New Roman" w:cs="Times New Roman"/>
          <w:color w:val="000000" w:themeColor="text1"/>
          <w:sz w:val="22"/>
          <w:szCs w:val="22"/>
        </w:rPr>
        <w:t xml:space="preserve"> </w:t>
      </w:r>
      <w:r w:rsidRPr="00765279">
        <w:rPr>
          <w:rStyle w:val="val"/>
          <w:rFonts w:ascii="Times New Roman" w:hAnsi="Times New Roman" w:cs="Times New Roman"/>
          <w:color w:val="000000" w:themeColor="text1"/>
          <w:sz w:val="22"/>
          <w:szCs w:val="22"/>
        </w:rPr>
        <w:t>1</w:t>
      </w:r>
      <w:r w:rsidRPr="00765279">
        <w:rPr>
          <w:rStyle w:val="val"/>
          <w:rFonts w:ascii="Times New Roman" w:eastAsiaTheme="majorEastAsia" w:hAnsi="Times New Roman" w:cs="Times New Roman"/>
          <w:color w:val="000000" w:themeColor="text1"/>
          <w:sz w:val="22"/>
          <w:szCs w:val="22"/>
        </w:rPr>
        <w:t>:</w:t>
      </w:r>
      <w:r w:rsidRPr="00765279">
        <w:rPr>
          <w:rFonts w:ascii="Times New Roman" w:hAnsi="Times New Roman" w:cs="Times New Roman"/>
          <w:color w:val="000000" w:themeColor="text1"/>
          <w:sz w:val="22"/>
          <w:szCs w:val="22"/>
        </w:rPr>
        <w:t xml:space="preserve"> 183-199</w:t>
      </w:r>
    </w:p>
    <w:p w14:paraId="07670A6B" w14:textId="38A512F8" w:rsidR="004477ED" w:rsidRDefault="00256096" w:rsidP="00813948">
      <w:pPr>
        <w:autoSpaceDE w:val="0"/>
        <w:autoSpaceDN w:val="0"/>
        <w:adjustRightInd w:val="0"/>
        <w:spacing w:before="120"/>
        <w:ind w:right="-1" w:firstLine="142"/>
        <w:rPr>
          <w:rFonts w:ascii="Times New Roman" w:hAnsi="Times New Roman" w:cs="Times New Roman"/>
          <w:kern w:val="0"/>
          <w:sz w:val="22"/>
          <w:szCs w:val="22"/>
          <w:lang w:val="en-GB"/>
        </w:rPr>
      </w:pPr>
      <w:proofErr w:type="spellStart"/>
      <w:r w:rsidRPr="007369D2">
        <w:rPr>
          <w:rFonts w:ascii="Times New Roman" w:hAnsi="Times New Roman" w:cs="Times New Roman"/>
          <w:kern w:val="0"/>
          <w:sz w:val="22"/>
          <w:szCs w:val="22"/>
          <w:lang w:val="en-GB"/>
        </w:rPr>
        <w:t>Windmeijer</w:t>
      </w:r>
      <w:proofErr w:type="spellEnd"/>
      <w:r w:rsidRPr="007369D2">
        <w:rPr>
          <w:rFonts w:ascii="Times New Roman" w:hAnsi="Times New Roman" w:cs="Times New Roman"/>
          <w:kern w:val="0"/>
          <w:sz w:val="22"/>
          <w:szCs w:val="22"/>
          <w:lang w:val="en-GB"/>
        </w:rPr>
        <w:t xml:space="preserve">, F.  (2024). Testing </w:t>
      </w:r>
      <w:proofErr w:type="spellStart"/>
      <w:r w:rsidRPr="007369D2">
        <w:rPr>
          <w:rFonts w:ascii="Times New Roman" w:hAnsi="Times New Roman" w:cs="Times New Roman"/>
          <w:kern w:val="0"/>
          <w:sz w:val="22"/>
          <w:szCs w:val="22"/>
          <w:lang w:val="en-GB"/>
        </w:rPr>
        <w:t>underidentification</w:t>
      </w:r>
      <w:proofErr w:type="spellEnd"/>
      <w:r w:rsidRPr="007369D2">
        <w:rPr>
          <w:rFonts w:ascii="Times New Roman" w:hAnsi="Times New Roman" w:cs="Times New Roman"/>
          <w:kern w:val="0"/>
          <w:sz w:val="22"/>
          <w:szCs w:val="22"/>
          <w:lang w:val="en-GB"/>
        </w:rPr>
        <w:t xml:space="preserve"> in linear models, with applications to dynamic panel and asset pricing models. Journal of Econometrics 240:2, 949-963.</w:t>
      </w:r>
    </w:p>
    <w:p w14:paraId="149CFC95" w14:textId="77777777" w:rsidR="00E850E2" w:rsidRDefault="00E850E2" w:rsidP="00813948">
      <w:pPr>
        <w:autoSpaceDE w:val="0"/>
        <w:autoSpaceDN w:val="0"/>
        <w:adjustRightInd w:val="0"/>
        <w:spacing w:before="120"/>
        <w:ind w:right="-1" w:firstLine="142"/>
        <w:rPr>
          <w:rFonts w:ascii="Times New Roman" w:hAnsi="Times New Roman" w:cs="Times New Roman"/>
          <w:kern w:val="0"/>
          <w:sz w:val="22"/>
          <w:szCs w:val="22"/>
          <w:lang w:val="en-GB"/>
        </w:rPr>
      </w:pPr>
    </w:p>
    <w:p w14:paraId="436099CE" w14:textId="77777777" w:rsidR="00E850E2" w:rsidRDefault="00E850E2">
      <w:pPr>
        <w:rPr>
          <w:rFonts w:ascii="Times New Roman" w:hAnsi="Times New Roman" w:cs="Times New Roman"/>
          <w:b/>
          <w:bCs/>
          <w:kern w:val="0"/>
          <w:lang w:val="en-GB"/>
        </w:rPr>
      </w:pPr>
      <w:r>
        <w:rPr>
          <w:rFonts w:ascii="Times New Roman" w:hAnsi="Times New Roman" w:cs="Times New Roman"/>
          <w:b/>
          <w:bCs/>
          <w:kern w:val="0"/>
          <w:lang w:val="en-GB"/>
        </w:rPr>
        <w:br w:type="page"/>
      </w:r>
    </w:p>
    <w:p w14:paraId="03D5AC9C" w14:textId="009A8803" w:rsidR="00E850E2" w:rsidRPr="00891442" w:rsidRDefault="00E850E2" w:rsidP="00E850E2">
      <w:pPr>
        <w:autoSpaceDE w:val="0"/>
        <w:autoSpaceDN w:val="0"/>
        <w:adjustRightInd w:val="0"/>
        <w:jc w:val="both"/>
        <w:rPr>
          <w:rFonts w:ascii="Times New Roman" w:hAnsi="Times New Roman" w:cs="Times New Roman"/>
          <w:b/>
          <w:bCs/>
          <w:kern w:val="0"/>
        </w:rPr>
      </w:pPr>
      <w:r w:rsidRPr="00891442">
        <w:rPr>
          <w:rFonts w:ascii="Times New Roman" w:hAnsi="Times New Roman" w:cs="Times New Roman"/>
          <w:b/>
          <w:bCs/>
          <w:kern w:val="0"/>
          <w:lang w:val="en-GB"/>
        </w:rPr>
        <w:lastRenderedPageBreak/>
        <w:t xml:space="preserve">Table 1.  </w:t>
      </w:r>
      <w:r w:rsidRPr="00891442">
        <w:rPr>
          <w:rFonts w:ascii="Times New Roman" w:hAnsi="Times New Roman" w:cs="Times New Roman"/>
          <w:b/>
          <w:bCs/>
          <w:kern w:val="0"/>
        </w:rPr>
        <w:t xml:space="preserve">Static panel model estimates </w:t>
      </w:r>
    </w:p>
    <w:tbl>
      <w:tblPr>
        <w:tblW w:w="0" w:type="auto"/>
        <w:jc w:val="center"/>
        <w:tblCellMar>
          <w:left w:w="70" w:type="dxa"/>
          <w:right w:w="70" w:type="dxa"/>
        </w:tblCellMar>
        <w:tblLook w:val="04A0" w:firstRow="1" w:lastRow="0" w:firstColumn="1" w:lastColumn="0" w:noHBand="0" w:noVBand="1"/>
      </w:tblPr>
      <w:tblGrid>
        <w:gridCol w:w="2360"/>
        <w:gridCol w:w="1160"/>
        <w:gridCol w:w="1160"/>
        <w:gridCol w:w="1160"/>
      </w:tblGrid>
      <w:tr w:rsidR="00E850E2" w:rsidRPr="00891442" w14:paraId="7ACBB226" w14:textId="77777777" w:rsidTr="00217E39">
        <w:trPr>
          <w:trHeight w:val="20"/>
          <w:jc w:val="center"/>
        </w:trPr>
        <w:tc>
          <w:tcPr>
            <w:tcW w:w="0" w:type="auto"/>
            <w:tcBorders>
              <w:top w:val="single" w:sz="12" w:space="0" w:color="auto"/>
              <w:left w:val="nil"/>
              <w:bottom w:val="single" w:sz="12" w:space="0" w:color="auto"/>
              <w:right w:val="nil"/>
            </w:tcBorders>
            <w:vAlign w:val="center"/>
            <w:hideMark/>
          </w:tcPr>
          <w:p w14:paraId="374B9F0F"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 </w:t>
            </w:r>
          </w:p>
        </w:tc>
        <w:tc>
          <w:tcPr>
            <w:tcW w:w="0" w:type="auto"/>
            <w:tcBorders>
              <w:top w:val="single" w:sz="12" w:space="0" w:color="auto"/>
              <w:left w:val="nil"/>
              <w:bottom w:val="single" w:sz="12" w:space="0" w:color="auto"/>
              <w:right w:val="nil"/>
            </w:tcBorders>
            <w:vAlign w:val="center"/>
            <w:hideMark/>
          </w:tcPr>
          <w:p w14:paraId="6B21D9BD"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(1)</w:t>
            </w:r>
          </w:p>
        </w:tc>
        <w:tc>
          <w:tcPr>
            <w:tcW w:w="0" w:type="auto"/>
            <w:tcBorders>
              <w:top w:val="single" w:sz="12" w:space="0" w:color="auto"/>
              <w:left w:val="nil"/>
              <w:bottom w:val="single" w:sz="12" w:space="0" w:color="auto"/>
              <w:right w:val="nil"/>
            </w:tcBorders>
            <w:vAlign w:val="center"/>
            <w:hideMark/>
          </w:tcPr>
          <w:p w14:paraId="0CAB18F5"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w:t>
            </w:r>
          </w:p>
        </w:tc>
        <w:tc>
          <w:tcPr>
            <w:tcW w:w="0" w:type="auto"/>
            <w:tcBorders>
              <w:top w:val="single" w:sz="12" w:space="0" w:color="auto"/>
              <w:left w:val="nil"/>
              <w:bottom w:val="single" w:sz="12" w:space="0" w:color="auto"/>
              <w:right w:val="nil"/>
            </w:tcBorders>
            <w:vAlign w:val="center"/>
            <w:hideMark/>
          </w:tcPr>
          <w:p w14:paraId="1AE914B2"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(3)</w:t>
            </w:r>
          </w:p>
        </w:tc>
      </w:tr>
      <w:tr w:rsidR="00E850E2" w:rsidRPr="00891442" w14:paraId="212AF3EF" w14:textId="77777777" w:rsidTr="00217E39">
        <w:trPr>
          <w:trHeight w:val="20"/>
          <w:jc w:val="center"/>
        </w:trPr>
        <w:tc>
          <w:tcPr>
            <w:tcW w:w="0" w:type="auto"/>
            <w:tcBorders>
              <w:top w:val="single" w:sz="12" w:space="0" w:color="auto"/>
              <w:left w:val="nil"/>
              <w:bottom w:val="single" w:sz="4" w:space="0" w:color="auto"/>
              <w:right w:val="nil"/>
            </w:tcBorders>
            <w:vAlign w:val="center"/>
            <w:hideMark/>
          </w:tcPr>
          <w:p w14:paraId="737E5290"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single" w:sz="12" w:space="0" w:color="auto"/>
              <w:left w:val="nil"/>
              <w:bottom w:val="single" w:sz="4" w:space="0" w:color="auto"/>
              <w:right w:val="nil"/>
            </w:tcBorders>
            <w:vAlign w:val="center"/>
            <w:hideMark/>
          </w:tcPr>
          <w:p w14:paraId="50325AC5" w14:textId="77777777" w:rsidR="00E850E2" w:rsidRPr="00891442" w:rsidRDefault="00E850E2" w:rsidP="00217E39">
            <w:pPr>
              <w:rPr>
                <w:rFonts w:ascii="Times New Roman" w:eastAsia="Times New Roman" w:hAnsi="Times New Roman" w:cs="Times New Roman"/>
                <w:b/>
                <w:bCs/>
                <w:color w:val="000000"/>
                <w:kern w:val="0"/>
                <w:lang w:val="it-IT" w:eastAsia="it-IT"/>
                <w14:ligatures w14:val="none"/>
              </w:rPr>
            </w:pPr>
            <w:proofErr w:type="spellStart"/>
            <w:r w:rsidRPr="00891442">
              <w:rPr>
                <w:rFonts w:ascii="Times New Roman" w:eastAsia="Times New Roman" w:hAnsi="Times New Roman" w:cs="Times New Roman"/>
                <w:b/>
                <w:bCs/>
                <w:color w:val="000000"/>
                <w:kern w:val="0"/>
                <w:lang w:val="it-IT" w:eastAsia="it-IT"/>
                <w14:ligatures w14:val="none"/>
              </w:rPr>
              <w:t>Fixed</w:t>
            </w:r>
            <w:proofErr w:type="spellEnd"/>
            <w:r w:rsidRPr="00891442">
              <w:rPr>
                <w:rFonts w:ascii="Times New Roman" w:eastAsia="Times New Roman" w:hAnsi="Times New Roman" w:cs="Times New Roman"/>
                <w:b/>
                <w:bCs/>
                <w:color w:val="000000"/>
                <w:kern w:val="0"/>
                <w:lang w:val="it-IT" w:eastAsia="it-IT"/>
                <w14:ligatures w14:val="none"/>
              </w:rPr>
              <w:t xml:space="preserve"> IV</w:t>
            </w:r>
          </w:p>
        </w:tc>
        <w:tc>
          <w:tcPr>
            <w:tcW w:w="0" w:type="auto"/>
            <w:tcBorders>
              <w:top w:val="single" w:sz="12" w:space="0" w:color="auto"/>
              <w:left w:val="nil"/>
              <w:bottom w:val="single" w:sz="4" w:space="0" w:color="auto"/>
              <w:right w:val="nil"/>
            </w:tcBorders>
            <w:vAlign w:val="center"/>
            <w:hideMark/>
          </w:tcPr>
          <w:p w14:paraId="36D1062B" w14:textId="77777777" w:rsidR="00E850E2" w:rsidRPr="00891442" w:rsidRDefault="00E850E2" w:rsidP="00217E39">
            <w:pPr>
              <w:rPr>
                <w:rFonts w:ascii="Times New Roman" w:eastAsia="Times New Roman" w:hAnsi="Times New Roman" w:cs="Times New Roman"/>
                <w:b/>
                <w:bCs/>
                <w:color w:val="000000"/>
                <w:kern w:val="0"/>
                <w:lang w:val="it-IT" w:eastAsia="it-IT"/>
                <w14:ligatures w14:val="none"/>
              </w:rPr>
            </w:pPr>
            <w:proofErr w:type="spellStart"/>
            <w:r w:rsidRPr="00891442">
              <w:rPr>
                <w:rFonts w:ascii="Times New Roman" w:eastAsia="Times New Roman" w:hAnsi="Times New Roman" w:cs="Times New Roman"/>
                <w:b/>
                <w:bCs/>
                <w:color w:val="000000"/>
                <w:kern w:val="0"/>
                <w:lang w:val="it-IT" w:eastAsia="it-IT"/>
                <w14:ligatures w14:val="none"/>
              </w:rPr>
              <w:t>Fixed</w:t>
            </w:r>
            <w:proofErr w:type="spellEnd"/>
            <w:r w:rsidRPr="00891442">
              <w:rPr>
                <w:rFonts w:ascii="Times New Roman" w:eastAsia="Times New Roman" w:hAnsi="Times New Roman" w:cs="Times New Roman"/>
                <w:b/>
                <w:bCs/>
                <w:color w:val="000000"/>
                <w:kern w:val="0"/>
                <w:lang w:val="it-IT" w:eastAsia="it-IT"/>
                <w14:ligatures w14:val="none"/>
              </w:rPr>
              <w:t xml:space="preserve"> IV</w:t>
            </w:r>
          </w:p>
        </w:tc>
        <w:tc>
          <w:tcPr>
            <w:tcW w:w="0" w:type="auto"/>
            <w:tcBorders>
              <w:top w:val="single" w:sz="12" w:space="0" w:color="auto"/>
              <w:left w:val="nil"/>
              <w:bottom w:val="single" w:sz="4" w:space="0" w:color="auto"/>
              <w:right w:val="nil"/>
            </w:tcBorders>
            <w:vAlign w:val="center"/>
            <w:hideMark/>
          </w:tcPr>
          <w:p w14:paraId="0BE667DB" w14:textId="77777777" w:rsidR="00E850E2" w:rsidRPr="00891442" w:rsidRDefault="00E850E2" w:rsidP="00217E39">
            <w:pPr>
              <w:rPr>
                <w:rFonts w:ascii="Times New Roman" w:eastAsia="Times New Roman" w:hAnsi="Times New Roman" w:cs="Times New Roman"/>
                <w:b/>
                <w:bCs/>
                <w:color w:val="000000"/>
                <w:kern w:val="0"/>
                <w:lang w:val="it-IT" w:eastAsia="it-IT"/>
                <w14:ligatures w14:val="none"/>
              </w:rPr>
            </w:pPr>
            <w:proofErr w:type="spellStart"/>
            <w:r w:rsidRPr="00891442">
              <w:rPr>
                <w:rFonts w:ascii="Times New Roman" w:eastAsia="Times New Roman" w:hAnsi="Times New Roman" w:cs="Times New Roman"/>
                <w:b/>
                <w:bCs/>
                <w:color w:val="000000"/>
                <w:kern w:val="0"/>
                <w:lang w:val="it-IT" w:eastAsia="it-IT"/>
                <w14:ligatures w14:val="none"/>
              </w:rPr>
              <w:t>Fixed</w:t>
            </w:r>
            <w:proofErr w:type="spellEnd"/>
            <w:r w:rsidRPr="00891442">
              <w:rPr>
                <w:rFonts w:ascii="Times New Roman" w:eastAsia="Times New Roman" w:hAnsi="Times New Roman" w:cs="Times New Roman"/>
                <w:b/>
                <w:bCs/>
                <w:color w:val="000000"/>
                <w:kern w:val="0"/>
                <w:lang w:val="it-IT" w:eastAsia="it-IT"/>
                <w14:ligatures w14:val="none"/>
              </w:rPr>
              <w:t xml:space="preserve"> IV</w:t>
            </w:r>
          </w:p>
        </w:tc>
      </w:tr>
      <w:tr w:rsidR="00E850E2" w:rsidRPr="00891442" w14:paraId="3E46608C" w14:textId="77777777" w:rsidTr="00217E39">
        <w:trPr>
          <w:trHeight w:val="20"/>
          <w:jc w:val="center"/>
        </w:trPr>
        <w:tc>
          <w:tcPr>
            <w:tcW w:w="0" w:type="auto"/>
            <w:vMerge w:val="restart"/>
            <w:tcBorders>
              <w:top w:val="single" w:sz="4" w:space="0" w:color="auto"/>
              <w:left w:val="nil"/>
              <w:bottom w:val="nil"/>
              <w:right w:val="nil"/>
            </w:tcBorders>
            <w:vAlign w:val="center"/>
            <w:hideMark/>
          </w:tcPr>
          <w:p w14:paraId="07DCD438"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91442">
              <w:rPr>
                <w:rFonts w:ascii="Times New Roman" w:eastAsia="Times New Roman" w:hAnsi="Times New Roman" w:cs="Times New Roman"/>
                <w:i/>
                <w:iCs/>
                <w:color w:val="000000"/>
                <w:kern w:val="0"/>
                <w:lang w:val="it-IT" w:eastAsia="it-IT"/>
                <w14:ligatures w14:val="none"/>
              </w:rPr>
              <w:t>envRTA</w:t>
            </w:r>
            <w:proofErr w:type="spellEnd"/>
          </w:p>
        </w:tc>
        <w:tc>
          <w:tcPr>
            <w:tcW w:w="0" w:type="auto"/>
            <w:tcBorders>
              <w:top w:val="single" w:sz="4" w:space="0" w:color="auto"/>
              <w:left w:val="nil"/>
              <w:bottom w:val="nil"/>
              <w:right w:val="nil"/>
            </w:tcBorders>
            <w:vAlign w:val="center"/>
            <w:hideMark/>
          </w:tcPr>
          <w:p w14:paraId="3DC62B41"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0.804</w:t>
            </w:r>
            <w:r w:rsidRPr="00891442">
              <w:rPr>
                <w:rFonts w:ascii="Times New Roman" w:eastAsia="Times New Roman" w:hAnsi="Times New Roman" w:cs="Times New Roman"/>
                <w:i/>
                <w:iCs/>
                <w:color w:val="000000"/>
                <w:kern w:val="0"/>
                <w:lang w:val="it-IT" w:eastAsia="it-IT"/>
                <w14:ligatures w14:val="none"/>
              </w:rPr>
              <w:t>***</w:t>
            </w:r>
          </w:p>
        </w:tc>
        <w:tc>
          <w:tcPr>
            <w:tcW w:w="0" w:type="auto"/>
            <w:tcBorders>
              <w:top w:val="single" w:sz="4" w:space="0" w:color="auto"/>
              <w:left w:val="nil"/>
              <w:bottom w:val="nil"/>
              <w:right w:val="nil"/>
            </w:tcBorders>
            <w:vAlign w:val="center"/>
            <w:hideMark/>
          </w:tcPr>
          <w:p w14:paraId="76763E51"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r w:rsidRPr="00891442">
              <w:rPr>
                <w:rFonts w:ascii="Times New Roman" w:eastAsia="Times New Roman" w:hAnsi="Times New Roman" w:cs="Times New Roman"/>
                <w:i/>
                <w:iCs/>
                <w:color w:val="000000"/>
                <w:kern w:val="0"/>
                <w:lang w:val="it-IT" w:eastAsia="it-IT"/>
                <w14:ligatures w14:val="none"/>
              </w:rPr>
              <w:t> </w:t>
            </w:r>
          </w:p>
        </w:tc>
        <w:tc>
          <w:tcPr>
            <w:tcW w:w="0" w:type="auto"/>
            <w:tcBorders>
              <w:top w:val="single" w:sz="4" w:space="0" w:color="auto"/>
              <w:left w:val="nil"/>
              <w:bottom w:val="nil"/>
              <w:right w:val="nil"/>
            </w:tcBorders>
            <w:vAlign w:val="center"/>
            <w:hideMark/>
          </w:tcPr>
          <w:p w14:paraId="3141A43C"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r>
      <w:tr w:rsidR="00E850E2" w:rsidRPr="00891442" w14:paraId="6C44A0C0" w14:textId="77777777" w:rsidTr="00217E39">
        <w:trPr>
          <w:trHeight w:val="20"/>
          <w:jc w:val="center"/>
        </w:trPr>
        <w:tc>
          <w:tcPr>
            <w:tcW w:w="0" w:type="auto"/>
            <w:vMerge/>
            <w:tcBorders>
              <w:top w:val="nil"/>
              <w:left w:val="nil"/>
              <w:bottom w:val="nil"/>
              <w:right w:val="nil"/>
            </w:tcBorders>
            <w:vAlign w:val="center"/>
            <w:hideMark/>
          </w:tcPr>
          <w:p w14:paraId="2CF2B107"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757E2F09"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(0.079)</w:t>
            </w:r>
          </w:p>
        </w:tc>
        <w:tc>
          <w:tcPr>
            <w:tcW w:w="0" w:type="auto"/>
            <w:tcBorders>
              <w:top w:val="nil"/>
              <w:left w:val="nil"/>
              <w:bottom w:val="nil"/>
              <w:right w:val="nil"/>
            </w:tcBorders>
            <w:vAlign w:val="center"/>
            <w:hideMark/>
          </w:tcPr>
          <w:p w14:paraId="04DF4FC7"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0604412A" w14:textId="77777777" w:rsidR="00E850E2" w:rsidRPr="00891442" w:rsidRDefault="00E850E2" w:rsidP="00217E39">
            <w:pPr>
              <w:rPr>
                <w:rFonts w:ascii="Times New Roman" w:eastAsia="Times New Roman" w:hAnsi="Times New Roman" w:cs="Times New Roman"/>
                <w:kern w:val="0"/>
                <w:lang w:val="it-IT" w:eastAsia="it-IT"/>
                <w14:ligatures w14:val="none"/>
              </w:rPr>
            </w:pPr>
          </w:p>
        </w:tc>
      </w:tr>
      <w:tr w:rsidR="00E850E2" w:rsidRPr="00891442" w14:paraId="071604FD" w14:textId="77777777" w:rsidTr="00217E39">
        <w:trPr>
          <w:trHeight w:val="20"/>
          <w:jc w:val="center"/>
        </w:trPr>
        <w:tc>
          <w:tcPr>
            <w:tcW w:w="0" w:type="auto"/>
            <w:vMerge w:val="restart"/>
            <w:tcBorders>
              <w:top w:val="nil"/>
              <w:left w:val="nil"/>
              <w:bottom w:val="nil"/>
              <w:right w:val="nil"/>
            </w:tcBorders>
            <w:vAlign w:val="center"/>
            <w:hideMark/>
          </w:tcPr>
          <w:p w14:paraId="1FD7E44E"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r w:rsidRPr="00891442">
              <w:rPr>
                <w:rFonts w:ascii="Times New Roman" w:eastAsia="Times New Roman" w:hAnsi="Times New Roman" w:cs="Times New Roman"/>
                <w:i/>
                <w:iCs/>
                <w:color w:val="000000"/>
                <w:kern w:val="0"/>
                <w:lang w:val="it-IT" w:eastAsia="it-IT"/>
                <w14:ligatures w14:val="none"/>
              </w:rPr>
              <w:t>RTA1025</w:t>
            </w:r>
          </w:p>
        </w:tc>
        <w:tc>
          <w:tcPr>
            <w:tcW w:w="0" w:type="auto"/>
            <w:tcBorders>
              <w:top w:val="nil"/>
              <w:left w:val="nil"/>
              <w:bottom w:val="nil"/>
              <w:right w:val="nil"/>
            </w:tcBorders>
            <w:vAlign w:val="center"/>
            <w:hideMark/>
          </w:tcPr>
          <w:p w14:paraId="385E563C"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161F03BB"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2.594***</w:t>
            </w:r>
          </w:p>
        </w:tc>
        <w:tc>
          <w:tcPr>
            <w:tcW w:w="0" w:type="auto"/>
            <w:tcBorders>
              <w:top w:val="nil"/>
              <w:left w:val="nil"/>
              <w:bottom w:val="nil"/>
              <w:right w:val="nil"/>
            </w:tcBorders>
            <w:vAlign w:val="center"/>
            <w:hideMark/>
          </w:tcPr>
          <w:p w14:paraId="3EDEDECC"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2.49***</w:t>
            </w:r>
          </w:p>
        </w:tc>
      </w:tr>
      <w:tr w:rsidR="00E850E2" w:rsidRPr="00891442" w14:paraId="1B07D028" w14:textId="77777777" w:rsidTr="00217E39">
        <w:trPr>
          <w:trHeight w:val="20"/>
          <w:jc w:val="center"/>
        </w:trPr>
        <w:tc>
          <w:tcPr>
            <w:tcW w:w="0" w:type="auto"/>
            <w:vMerge/>
            <w:tcBorders>
              <w:top w:val="nil"/>
              <w:left w:val="nil"/>
              <w:bottom w:val="nil"/>
              <w:right w:val="nil"/>
            </w:tcBorders>
            <w:vAlign w:val="center"/>
            <w:hideMark/>
          </w:tcPr>
          <w:p w14:paraId="72CA1F52"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4F207C95"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2C583A45"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(0.373)</w:t>
            </w:r>
          </w:p>
        </w:tc>
        <w:tc>
          <w:tcPr>
            <w:tcW w:w="0" w:type="auto"/>
            <w:tcBorders>
              <w:top w:val="nil"/>
              <w:left w:val="nil"/>
              <w:bottom w:val="nil"/>
              <w:right w:val="nil"/>
            </w:tcBorders>
            <w:vAlign w:val="center"/>
            <w:hideMark/>
          </w:tcPr>
          <w:p w14:paraId="4FC0303F"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(0.367)</w:t>
            </w:r>
          </w:p>
        </w:tc>
      </w:tr>
      <w:tr w:rsidR="00E850E2" w:rsidRPr="00891442" w14:paraId="174F2A72" w14:textId="77777777" w:rsidTr="00217E39">
        <w:trPr>
          <w:trHeight w:val="20"/>
          <w:jc w:val="center"/>
        </w:trPr>
        <w:tc>
          <w:tcPr>
            <w:tcW w:w="0" w:type="auto"/>
            <w:vMerge w:val="restart"/>
            <w:tcBorders>
              <w:top w:val="nil"/>
              <w:left w:val="nil"/>
              <w:bottom w:val="nil"/>
              <w:right w:val="nil"/>
            </w:tcBorders>
            <w:vAlign w:val="center"/>
            <w:hideMark/>
          </w:tcPr>
          <w:p w14:paraId="15C95E42"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r w:rsidRPr="00891442">
              <w:rPr>
                <w:rFonts w:ascii="Times New Roman" w:eastAsia="Times New Roman" w:hAnsi="Times New Roman" w:cs="Times New Roman"/>
                <w:i/>
                <w:iCs/>
                <w:color w:val="000000"/>
                <w:kern w:val="0"/>
                <w:lang w:val="it-IT" w:eastAsia="it-IT"/>
                <w14:ligatures w14:val="none"/>
              </w:rPr>
              <w:t>RTA1026</w:t>
            </w:r>
          </w:p>
        </w:tc>
        <w:tc>
          <w:tcPr>
            <w:tcW w:w="0" w:type="auto"/>
            <w:tcBorders>
              <w:top w:val="nil"/>
              <w:left w:val="nil"/>
              <w:bottom w:val="nil"/>
              <w:right w:val="nil"/>
            </w:tcBorders>
            <w:vAlign w:val="center"/>
            <w:hideMark/>
          </w:tcPr>
          <w:p w14:paraId="6931C7A4"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35C4CB3A"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-1.115**</w:t>
            </w:r>
          </w:p>
        </w:tc>
        <w:tc>
          <w:tcPr>
            <w:tcW w:w="0" w:type="auto"/>
            <w:tcBorders>
              <w:top w:val="nil"/>
              <w:left w:val="nil"/>
              <w:bottom w:val="nil"/>
              <w:right w:val="nil"/>
            </w:tcBorders>
            <w:vAlign w:val="center"/>
            <w:hideMark/>
          </w:tcPr>
          <w:p w14:paraId="59B53215"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-1.076*</w:t>
            </w:r>
          </w:p>
        </w:tc>
      </w:tr>
      <w:tr w:rsidR="00E850E2" w:rsidRPr="00891442" w14:paraId="68DDBEC0" w14:textId="77777777" w:rsidTr="00217E39">
        <w:trPr>
          <w:trHeight w:val="20"/>
          <w:jc w:val="center"/>
        </w:trPr>
        <w:tc>
          <w:tcPr>
            <w:tcW w:w="0" w:type="auto"/>
            <w:vMerge/>
            <w:tcBorders>
              <w:top w:val="nil"/>
              <w:left w:val="nil"/>
              <w:bottom w:val="nil"/>
              <w:right w:val="nil"/>
            </w:tcBorders>
            <w:vAlign w:val="center"/>
            <w:hideMark/>
          </w:tcPr>
          <w:p w14:paraId="531C1095"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76B514AB"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1BE6DD95"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(0.401)</w:t>
            </w:r>
          </w:p>
        </w:tc>
        <w:tc>
          <w:tcPr>
            <w:tcW w:w="0" w:type="auto"/>
            <w:tcBorders>
              <w:top w:val="nil"/>
              <w:left w:val="nil"/>
              <w:bottom w:val="nil"/>
              <w:right w:val="nil"/>
            </w:tcBorders>
            <w:vAlign w:val="center"/>
            <w:hideMark/>
          </w:tcPr>
          <w:p w14:paraId="02CF618B"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(0.392)</w:t>
            </w:r>
          </w:p>
        </w:tc>
      </w:tr>
      <w:tr w:rsidR="00E850E2" w:rsidRPr="00891442" w14:paraId="64ECA889" w14:textId="77777777" w:rsidTr="00217E39">
        <w:trPr>
          <w:trHeight w:val="20"/>
          <w:jc w:val="center"/>
        </w:trPr>
        <w:tc>
          <w:tcPr>
            <w:tcW w:w="0" w:type="auto"/>
            <w:vMerge w:val="restart"/>
            <w:tcBorders>
              <w:top w:val="nil"/>
              <w:left w:val="nil"/>
              <w:bottom w:val="nil"/>
              <w:right w:val="nil"/>
            </w:tcBorders>
            <w:vAlign w:val="center"/>
            <w:hideMark/>
          </w:tcPr>
          <w:p w14:paraId="1DEBC0DE"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91442">
              <w:rPr>
                <w:rFonts w:ascii="Times New Roman" w:eastAsia="Times New Roman" w:hAnsi="Times New Roman" w:cs="Times New Roman"/>
                <w:i/>
                <w:iCs/>
                <w:color w:val="000000"/>
                <w:kern w:val="0"/>
                <w:lang w:val="it-IT" w:eastAsia="it-IT"/>
                <w14:ligatures w14:val="none"/>
              </w:rPr>
              <w:t>Tpes</w:t>
            </w:r>
            <w:proofErr w:type="spellEnd"/>
          </w:p>
        </w:tc>
        <w:tc>
          <w:tcPr>
            <w:tcW w:w="0" w:type="auto"/>
            <w:tcBorders>
              <w:top w:val="nil"/>
              <w:left w:val="nil"/>
              <w:bottom w:val="nil"/>
              <w:right w:val="nil"/>
            </w:tcBorders>
            <w:vAlign w:val="center"/>
            <w:hideMark/>
          </w:tcPr>
          <w:p w14:paraId="7852CB74"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1B5413EF" w14:textId="77777777" w:rsidR="00E850E2" w:rsidRPr="00891442"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38D75CB"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1.139***</w:t>
            </w:r>
          </w:p>
        </w:tc>
      </w:tr>
      <w:tr w:rsidR="00E850E2" w:rsidRPr="00891442" w14:paraId="562B2863" w14:textId="77777777" w:rsidTr="00217E39">
        <w:trPr>
          <w:trHeight w:val="20"/>
          <w:jc w:val="center"/>
        </w:trPr>
        <w:tc>
          <w:tcPr>
            <w:tcW w:w="0" w:type="auto"/>
            <w:vMerge/>
            <w:tcBorders>
              <w:top w:val="nil"/>
              <w:left w:val="nil"/>
              <w:bottom w:val="nil"/>
              <w:right w:val="nil"/>
            </w:tcBorders>
            <w:vAlign w:val="center"/>
            <w:hideMark/>
          </w:tcPr>
          <w:p w14:paraId="660A8E06"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3DF7587E"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550AAB38" w14:textId="77777777" w:rsidR="00E850E2" w:rsidRPr="00891442"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15576E32"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(0.275)</w:t>
            </w:r>
          </w:p>
        </w:tc>
      </w:tr>
      <w:tr w:rsidR="00E850E2" w:rsidRPr="00891442" w14:paraId="3DE2B4E6" w14:textId="77777777" w:rsidTr="00217E39">
        <w:trPr>
          <w:trHeight w:val="20"/>
          <w:jc w:val="center"/>
        </w:trPr>
        <w:tc>
          <w:tcPr>
            <w:tcW w:w="0" w:type="auto"/>
            <w:vMerge w:val="restart"/>
            <w:tcBorders>
              <w:top w:val="nil"/>
              <w:left w:val="nil"/>
              <w:bottom w:val="nil"/>
              <w:right w:val="nil"/>
            </w:tcBorders>
            <w:vAlign w:val="center"/>
            <w:hideMark/>
          </w:tcPr>
          <w:p w14:paraId="50B94EF5"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91442">
              <w:rPr>
                <w:rFonts w:ascii="Times New Roman" w:eastAsia="Times New Roman" w:hAnsi="Times New Roman" w:cs="Times New Roman"/>
                <w:i/>
                <w:iCs/>
                <w:color w:val="000000"/>
                <w:kern w:val="0"/>
                <w:lang w:val="it-IT" w:eastAsia="it-IT"/>
                <w14:ligatures w14:val="none"/>
              </w:rPr>
              <w:t>Tfert</w:t>
            </w:r>
            <w:proofErr w:type="spellEnd"/>
          </w:p>
        </w:tc>
        <w:tc>
          <w:tcPr>
            <w:tcW w:w="0" w:type="auto"/>
            <w:tcBorders>
              <w:top w:val="nil"/>
              <w:left w:val="nil"/>
              <w:bottom w:val="nil"/>
              <w:right w:val="nil"/>
            </w:tcBorders>
            <w:vAlign w:val="center"/>
            <w:hideMark/>
          </w:tcPr>
          <w:p w14:paraId="7016E38B"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392443D5" w14:textId="77777777" w:rsidR="00E850E2" w:rsidRPr="00891442"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3F4B1147"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0.153</w:t>
            </w:r>
          </w:p>
        </w:tc>
      </w:tr>
      <w:tr w:rsidR="00E850E2" w:rsidRPr="00891442" w14:paraId="7858B329" w14:textId="77777777" w:rsidTr="00217E39">
        <w:trPr>
          <w:trHeight w:val="20"/>
          <w:jc w:val="center"/>
        </w:trPr>
        <w:tc>
          <w:tcPr>
            <w:tcW w:w="0" w:type="auto"/>
            <w:vMerge/>
            <w:tcBorders>
              <w:top w:val="nil"/>
              <w:left w:val="nil"/>
              <w:bottom w:val="nil"/>
              <w:right w:val="nil"/>
            </w:tcBorders>
            <w:vAlign w:val="center"/>
            <w:hideMark/>
          </w:tcPr>
          <w:p w14:paraId="3D42A8CE"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4152CB17"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20460C8C" w14:textId="77777777" w:rsidR="00E850E2" w:rsidRPr="00891442"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3A5C0C82"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(0.330)</w:t>
            </w:r>
          </w:p>
        </w:tc>
      </w:tr>
      <w:tr w:rsidR="00E850E2" w:rsidRPr="00891442" w14:paraId="6D841903" w14:textId="77777777" w:rsidTr="00217E39">
        <w:trPr>
          <w:trHeight w:val="20"/>
          <w:jc w:val="center"/>
        </w:trPr>
        <w:tc>
          <w:tcPr>
            <w:tcW w:w="0" w:type="auto"/>
            <w:vMerge w:val="restart"/>
            <w:tcBorders>
              <w:top w:val="nil"/>
              <w:left w:val="nil"/>
              <w:bottom w:val="nil"/>
              <w:right w:val="nil"/>
            </w:tcBorders>
            <w:vAlign w:val="center"/>
            <w:hideMark/>
          </w:tcPr>
          <w:p w14:paraId="7DDE2739"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91442">
              <w:rPr>
                <w:rFonts w:ascii="Times New Roman" w:eastAsia="Times New Roman" w:hAnsi="Times New Roman" w:cs="Times New Roman"/>
                <w:i/>
                <w:iCs/>
                <w:color w:val="000000"/>
                <w:kern w:val="0"/>
                <w:lang w:val="it-IT" w:eastAsia="it-IT"/>
                <w14:ligatures w14:val="none"/>
              </w:rPr>
              <w:t>Tagrtrade</w:t>
            </w:r>
            <w:proofErr w:type="spellEnd"/>
          </w:p>
        </w:tc>
        <w:tc>
          <w:tcPr>
            <w:tcW w:w="0" w:type="auto"/>
            <w:tcBorders>
              <w:top w:val="nil"/>
              <w:left w:val="nil"/>
              <w:bottom w:val="nil"/>
              <w:right w:val="nil"/>
            </w:tcBorders>
            <w:vAlign w:val="center"/>
            <w:hideMark/>
          </w:tcPr>
          <w:p w14:paraId="4E93B529"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1399BEB0" w14:textId="77777777" w:rsidR="00E850E2" w:rsidRPr="00891442"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C3522C8"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-1.398**</w:t>
            </w:r>
          </w:p>
        </w:tc>
      </w:tr>
      <w:tr w:rsidR="00E850E2" w:rsidRPr="00891442" w14:paraId="3522E0CC" w14:textId="77777777" w:rsidTr="00217E39">
        <w:trPr>
          <w:trHeight w:val="20"/>
          <w:jc w:val="center"/>
        </w:trPr>
        <w:tc>
          <w:tcPr>
            <w:tcW w:w="0" w:type="auto"/>
            <w:vMerge/>
            <w:tcBorders>
              <w:top w:val="nil"/>
              <w:left w:val="nil"/>
              <w:bottom w:val="nil"/>
              <w:right w:val="nil"/>
            </w:tcBorders>
            <w:vAlign w:val="center"/>
            <w:hideMark/>
          </w:tcPr>
          <w:p w14:paraId="7FC0776E"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15B2B405"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03B0DD71" w14:textId="77777777" w:rsidR="00E850E2" w:rsidRPr="00891442"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332BDF50"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(0.198)</w:t>
            </w:r>
          </w:p>
        </w:tc>
      </w:tr>
      <w:tr w:rsidR="00E850E2" w:rsidRPr="00891442" w14:paraId="6D676AB7" w14:textId="77777777" w:rsidTr="00217E39">
        <w:trPr>
          <w:trHeight w:val="20"/>
          <w:jc w:val="center"/>
        </w:trPr>
        <w:tc>
          <w:tcPr>
            <w:tcW w:w="0" w:type="auto"/>
            <w:vMerge w:val="restart"/>
            <w:tcBorders>
              <w:top w:val="nil"/>
              <w:left w:val="nil"/>
              <w:bottom w:val="single" w:sz="8" w:space="0" w:color="000000"/>
              <w:right w:val="nil"/>
            </w:tcBorders>
            <w:vAlign w:val="center"/>
            <w:hideMark/>
          </w:tcPr>
          <w:p w14:paraId="1616B8B2"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91442">
              <w:rPr>
                <w:rFonts w:ascii="Times New Roman" w:eastAsia="Times New Roman" w:hAnsi="Times New Roman" w:cs="Times New Roman"/>
                <w:i/>
                <w:iCs/>
                <w:color w:val="000000"/>
                <w:kern w:val="0"/>
                <w:lang w:val="it-IT" w:eastAsia="it-IT"/>
                <w14:ligatures w14:val="none"/>
              </w:rPr>
              <w:t>EPIscore</w:t>
            </w:r>
            <w:proofErr w:type="spellEnd"/>
          </w:p>
        </w:tc>
        <w:tc>
          <w:tcPr>
            <w:tcW w:w="0" w:type="auto"/>
            <w:tcBorders>
              <w:top w:val="nil"/>
              <w:left w:val="nil"/>
              <w:bottom w:val="nil"/>
              <w:right w:val="nil"/>
            </w:tcBorders>
            <w:vAlign w:val="center"/>
            <w:hideMark/>
          </w:tcPr>
          <w:p w14:paraId="00B83C31"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36E9C7C4" w14:textId="77777777" w:rsidR="00E850E2" w:rsidRPr="00891442"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1A18B3D"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0.766**</w:t>
            </w:r>
          </w:p>
        </w:tc>
      </w:tr>
      <w:tr w:rsidR="00E850E2" w:rsidRPr="00891442" w14:paraId="1A7EE8D6" w14:textId="77777777" w:rsidTr="00217E39">
        <w:trPr>
          <w:trHeight w:val="20"/>
          <w:jc w:val="center"/>
        </w:trPr>
        <w:tc>
          <w:tcPr>
            <w:tcW w:w="0" w:type="auto"/>
            <w:vMerge/>
            <w:tcBorders>
              <w:top w:val="nil"/>
              <w:left w:val="nil"/>
              <w:bottom w:val="single" w:sz="8" w:space="0" w:color="000000"/>
              <w:right w:val="nil"/>
            </w:tcBorders>
            <w:vAlign w:val="center"/>
            <w:hideMark/>
          </w:tcPr>
          <w:p w14:paraId="3375DA3A"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single" w:sz="8" w:space="0" w:color="auto"/>
              <w:right w:val="nil"/>
            </w:tcBorders>
            <w:vAlign w:val="center"/>
            <w:hideMark/>
          </w:tcPr>
          <w:p w14:paraId="4B41C48D"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 </w:t>
            </w:r>
          </w:p>
        </w:tc>
        <w:tc>
          <w:tcPr>
            <w:tcW w:w="0" w:type="auto"/>
            <w:tcBorders>
              <w:top w:val="nil"/>
              <w:left w:val="nil"/>
              <w:bottom w:val="single" w:sz="8" w:space="0" w:color="auto"/>
              <w:right w:val="nil"/>
            </w:tcBorders>
            <w:vAlign w:val="center"/>
            <w:hideMark/>
          </w:tcPr>
          <w:p w14:paraId="351E3B20"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 </w:t>
            </w:r>
          </w:p>
        </w:tc>
        <w:tc>
          <w:tcPr>
            <w:tcW w:w="0" w:type="auto"/>
            <w:tcBorders>
              <w:top w:val="nil"/>
              <w:left w:val="nil"/>
              <w:bottom w:val="single" w:sz="8" w:space="0" w:color="auto"/>
              <w:right w:val="nil"/>
            </w:tcBorders>
            <w:vAlign w:val="center"/>
            <w:hideMark/>
          </w:tcPr>
          <w:p w14:paraId="63CF15A9"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(0.126)</w:t>
            </w:r>
          </w:p>
        </w:tc>
      </w:tr>
      <w:tr w:rsidR="00E850E2" w:rsidRPr="00891442" w14:paraId="52CBBA56" w14:textId="77777777" w:rsidTr="00217E39">
        <w:trPr>
          <w:trHeight w:val="20"/>
          <w:jc w:val="center"/>
        </w:trPr>
        <w:tc>
          <w:tcPr>
            <w:tcW w:w="0" w:type="auto"/>
            <w:tcBorders>
              <w:top w:val="nil"/>
              <w:left w:val="nil"/>
              <w:bottom w:val="single" w:sz="12" w:space="0" w:color="auto"/>
              <w:right w:val="nil"/>
            </w:tcBorders>
            <w:vAlign w:val="center"/>
            <w:hideMark/>
          </w:tcPr>
          <w:p w14:paraId="11B71790"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r w:rsidRPr="00891442">
              <w:rPr>
                <w:rFonts w:ascii="Times New Roman" w:eastAsia="Times New Roman" w:hAnsi="Times New Roman" w:cs="Times New Roman"/>
                <w:i/>
                <w:iCs/>
                <w:color w:val="000000"/>
                <w:kern w:val="0"/>
                <w:lang w:val="it-IT" w:eastAsia="it-IT"/>
                <w14:ligatures w14:val="none"/>
              </w:rPr>
              <w:t xml:space="preserve">F </w:t>
            </w:r>
            <w:proofErr w:type="spellStart"/>
            <w:r w:rsidRPr="00891442">
              <w:rPr>
                <w:rFonts w:ascii="Times New Roman" w:eastAsia="Times New Roman" w:hAnsi="Times New Roman" w:cs="Times New Roman"/>
                <w:i/>
                <w:iCs/>
                <w:color w:val="000000"/>
                <w:kern w:val="0"/>
                <w:lang w:val="it-IT" w:eastAsia="it-IT"/>
                <w14:ligatures w14:val="none"/>
              </w:rPr>
              <w:t>statistics</w:t>
            </w:r>
            <w:proofErr w:type="spellEnd"/>
            <w:r w:rsidRPr="00891442">
              <w:rPr>
                <w:rFonts w:ascii="Times New Roman" w:eastAsia="Times New Roman" w:hAnsi="Times New Roman" w:cs="Times New Roman"/>
                <w:i/>
                <w:iCs/>
                <w:color w:val="000000"/>
                <w:kern w:val="0"/>
                <w:lang w:val="it-IT" w:eastAsia="it-IT"/>
                <w14:ligatures w14:val="none"/>
              </w:rPr>
              <w:t xml:space="preserve"> (first stage)</w:t>
            </w:r>
          </w:p>
        </w:tc>
        <w:tc>
          <w:tcPr>
            <w:tcW w:w="0" w:type="auto"/>
            <w:tcBorders>
              <w:top w:val="nil"/>
              <w:left w:val="nil"/>
              <w:bottom w:val="single" w:sz="12" w:space="0" w:color="auto"/>
              <w:right w:val="nil"/>
            </w:tcBorders>
            <w:vAlign w:val="center"/>
            <w:hideMark/>
          </w:tcPr>
          <w:p w14:paraId="380F9D2B"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96.668***</w:t>
            </w:r>
          </w:p>
        </w:tc>
        <w:tc>
          <w:tcPr>
            <w:tcW w:w="0" w:type="auto"/>
            <w:tcBorders>
              <w:top w:val="nil"/>
              <w:left w:val="nil"/>
              <w:bottom w:val="single" w:sz="12" w:space="0" w:color="auto"/>
              <w:right w:val="nil"/>
            </w:tcBorders>
            <w:vAlign w:val="center"/>
            <w:hideMark/>
          </w:tcPr>
          <w:p w14:paraId="4A0D5AC1"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48.736***</w:t>
            </w:r>
          </w:p>
        </w:tc>
        <w:tc>
          <w:tcPr>
            <w:tcW w:w="0" w:type="auto"/>
            <w:tcBorders>
              <w:top w:val="nil"/>
              <w:left w:val="nil"/>
              <w:bottom w:val="single" w:sz="12" w:space="0" w:color="auto"/>
              <w:right w:val="nil"/>
            </w:tcBorders>
            <w:vAlign w:val="center"/>
            <w:hideMark/>
          </w:tcPr>
          <w:p w14:paraId="7D5F79AC"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48.996***</w:t>
            </w:r>
          </w:p>
        </w:tc>
      </w:tr>
      <w:tr w:rsidR="00E850E2" w:rsidRPr="00891442" w14:paraId="52E0F9DD" w14:textId="77777777" w:rsidTr="00217E39">
        <w:trPr>
          <w:trHeight w:val="20"/>
          <w:jc w:val="center"/>
        </w:trPr>
        <w:tc>
          <w:tcPr>
            <w:tcW w:w="0" w:type="auto"/>
            <w:tcBorders>
              <w:top w:val="nil"/>
              <w:left w:val="nil"/>
              <w:bottom w:val="single" w:sz="12" w:space="0" w:color="auto"/>
              <w:right w:val="nil"/>
            </w:tcBorders>
            <w:vAlign w:val="center"/>
            <w:hideMark/>
          </w:tcPr>
          <w:p w14:paraId="6CB86302"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91442">
              <w:rPr>
                <w:rFonts w:ascii="Times New Roman" w:eastAsia="Times New Roman" w:hAnsi="Times New Roman" w:cs="Times New Roman"/>
                <w:i/>
                <w:iCs/>
                <w:color w:val="000000"/>
                <w:kern w:val="0"/>
                <w:lang w:val="it-IT" w:eastAsia="it-IT"/>
                <w14:ligatures w14:val="none"/>
              </w:rPr>
              <w:t>Sargan</w:t>
            </w:r>
            <w:proofErr w:type="spellEnd"/>
          </w:p>
        </w:tc>
        <w:tc>
          <w:tcPr>
            <w:tcW w:w="0" w:type="auto"/>
            <w:tcBorders>
              <w:top w:val="nil"/>
              <w:left w:val="nil"/>
              <w:bottom w:val="single" w:sz="12" w:space="0" w:color="auto"/>
              <w:right w:val="nil"/>
            </w:tcBorders>
            <w:vAlign w:val="center"/>
            <w:hideMark/>
          </w:tcPr>
          <w:p w14:paraId="78BB47E6"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2.726*</w:t>
            </w:r>
          </w:p>
        </w:tc>
        <w:tc>
          <w:tcPr>
            <w:tcW w:w="0" w:type="auto"/>
            <w:tcBorders>
              <w:top w:val="nil"/>
              <w:left w:val="nil"/>
              <w:bottom w:val="single" w:sz="12" w:space="0" w:color="auto"/>
              <w:right w:val="nil"/>
            </w:tcBorders>
            <w:vAlign w:val="center"/>
            <w:hideMark/>
          </w:tcPr>
          <w:p w14:paraId="43C22C47"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2.639</w:t>
            </w:r>
          </w:p>
        </w:tc>
        <w:tc>
          <w:tcPr>
            <w:tcW w:w="0" w:type="auto"/>
            <w:tcBorders>
              <w:top w:val="nil"/>
              <w:left w:val="nil"/>
              <w:bottom w:val="single" w:sz="12" w:space="0" w:color="auto"/>
              <w:right w:val="nil"/>
            </w:tcBorders>
            <w:vAlign w:val="center"/>
            <w:hideMark/>
          </w:tcPr>
          <w:p w14:paraId="0B298506"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2.883</w:t>
            </w:r>
          </w:p>
        </w:tc>
      </w:tr>
      <w:tr w:rsidR="00E850E2" w:rsidRPr="00891442" w14:paraId="532FA08B" w14:textId="77777777" w:rsidTr="00217E39">
        <w:trPr>
          <w:trHeight w:val="20"/>
          <w:jc w:val="center"/>
        </w:trPr>
        <w:tc>
          <w:tcPr>
            <w:tcW w:w="0" w:type="auto"/>
            <w:tcBorders>
              <w:top w:val="nil"/>
              <w:left w:val="nil"/>
              <w:bottom w:val="single" w:sz="12" w:space="0" w:color="auto"/>
              <w:right w:val="nil"/>
            </w:tcBorders>
            <w:vAlign w:val="center"/>
            <w:hideMark/>
          </w:tcPr>
          <w:p w14:paraId="1BDE8674"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91442">
              <w:rPr>
                <w:rFonts w:ascii="Times New Roman" w:eastAsia="Times New Roman" w:hAnsi="Times New Roman" w:cs="Times New Roman"/>
                <w:i/>
                <w:iCs/>
                <w:color w:val="000000"/>
                <w:kern w:val="0"/>
                <w:lang w:val="it-IT" w:eastAsia="it-IT"/>
                <w14:ligatures w14:val="none"/>
              </w:rPr>
              <w:t>Breusch</w:t>
            </w:r>
            <w:proofErr w:type="spellEnd"/>
            <w:r w:rsidRPr="00891442">
              <w:rPr>
                <w:rFonts w:ascii="Times New Roman" w:eastAsia="Times New Roman" w:hAnsi="Times New Roman" w:cs="Times New Roman"/>
                <w:i/>
                <w:iCs/>
                <w:color w:val="000000"/>
                <w:kern w:val="0"/>
                <w:lang w:val="it-IT" w:eastAsia="it-IT"/>
                <w14:ligatures w14:val="none"/>
              </w:rPr>
              <w:t>-Godfrey</w:t>
            </w:r>
          </w:p>
        </w:tc>
        <w:tc>
          <w:tcPr>
            <w:tcW w:w="0" w:type="auto"/>
            <w:tcBorders>
              <w:top w:val="nil"/>
              <w:left w:val="nil"/>
              <w:bottom w:val="single" w:sz="12" w:space="0" w:color="auto"/>
              <w:right w:val="nil"/>
            </w:tcBorders>
            <w:vAlign w:val="center"/>
            <w:hideMark/>
          </w:tcPr>
          <w:p w14:paraId="42D8CA96"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1173.5***</w:t>
            </w:r>
          </w:p>
        </w:tc>
        <w:tc>
          <w:tcPr>
            <w:tcW w:w="0" w:type="auto"/>
            <w:tcBorders>
              <w:top w:val="nil"/>
              <w:left w:val="nil"/>
              <w:bottom w:val="single" w:sz="12" w:space="0" w:color="auto"/>
              <w:right w:val="nil"/>
            </w:tcBorders>
            <w:vAlign w:val="center"/>
            <w:hideMark/>
          </w:tcPr>
          <w:p w14:paraId="11E0AA0C"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1170.3***</w:t>
            </w:r>
          </w:p>
        </w:tc>
        <w:tc>
          <w:tcPr>
            <w:tcW w:w="0" w:type="auto"/>
            <w:tcBorders>
              <w:top w:val="nil"/>
              <w:left w:val="nil"/>
              <w:bottom w:val="single" w:sz="12" w:space="0" w:color="auto"/>
              <w:right w:val="nil"/>
            </w:tcBorders>
            <w:vAlign w:val="center"/>
            <w:hideMark/>
          </w:tcPr>
          <w:p w14:paraId="72E841C2"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1125.3***</w:t>
            </w:r>
          </w:p>
        </w:tc>
      </w:tr>
      <w:tr w:rsidR="00E850E2" w:rsidRPr="00891442" w14:paraId="61B96D5B" w14:textId="77777777" w:rsidTr="00217E39">
        <w:trPr>
          <w:trHeight w:val="20"/>
          <w:jc w:val="center"/>
        </w:trPr>
        <w:tc>
          <w:tcPr>
            <w:tcW w:w="0" w:type="auto"/>
            <w:tcBorders>
              <w:top w:val="nil"/>
              <w:left w:val="nil"/>
              <w:bottom w:val="single" w:sz="12" w:space="0" w:color="auto"/>
              <w:right w:val="nil"/>
            </w:tcBorders>
            <w:vAlign w:val="center"/>
            <w:hideMark/>
          </w:tcPr>
          <w:p w14:paraId="652ED214"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91442">
              <w:rPr>
                <w:rFonts w:ascii="Times New Roman" w:eastAsia="Times New Roman" w:hAnsi="Times New Roman" w:cs="Times New Roman"/>
                <w:i/>
                <w:iCs/>
                <w:color w:val="000000"/>
                <w:kern w:val="0"/>
                <w:lang w:val="it-IT" w:eastAsia="it-IT"/>
                <w14:ligatures w14:val="none"/>
              </w:rPr>
              <w:t>Pesaran</w:t>
            </w:r>
            <w:proofErr w:type="spellEnd"/>
            <w:r w:rsidRPr="00891442">
              <w:rPr>
                <w:rFonts w:ascii="Times New Roman" w:eastAsia="Times New Roman" w:hAnsi="Times New Roman" w:cs="Times New Roman"/>
                <w:i/>
                <w:iCs/>
                <w:color w:val="000000"/>
                <w:kern w:val="0"/>
                <w:lang w:val="it-IT" w:eastAsia="it-IT"/>
                <w14:ligatures w14:val="none"/>
              </w:rPr>
              <w:t xml:space="preserve"> CD test</w:t>
            </w:r>
          </w:p>
        </w:tc>
        <w:tc>
          <w:tcPr>
            <w:tcW w:w="0" w:type="auto"/>
            <w:tcBorders>
              <w:top w:val="nil"/>
              <w:left w:val="nil"/>
              <w:bottom w:val="single" w:sz="12" w:space="0" w:color="auto"/>
              <w:right w:val="nil"/>
            </w:tcBorders>
            <w:vAlign w:val="center"/>
            <w:hideMark/>
          </w:tcPr>
          <w:p w14:paraId="503E4472"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64.434***</w:t>
            </w:r>
          </w:p>
        </w:tc>
        <w:tc>
          <w:tcPr>
            <w:tcW w:w="0" w:type="auto"/>
            <w:tcBorders>
              <w:top w:val="nil"/>
              <w:left w:val="nil"/>
              <w:bottom w:val="single" w:sz="12" w:space="0" w:color="auto"/>
              <w:right w:val="nil"/>
            </w:tcBorders>
            <w:vAlign w:val="center"/>
            <w:hideMark/>
          </w:tcPr>
          <w:p w14:paraId="7FD4BAED"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65.139***</w:t>
            </w:r>
          </w:p>
        </w:tc>
        <w:tc>
          <w:tcPr>
            <w:tcW w:w="0" w:type="auto"/>
            <w:tcBorders>
              <w:top w:val="nil"/>
              <w:left w:val="nil"/>
              <w:bottom w:val="single" w:sz="12" w:space="0" w:color="auto"/>
              <w:right w:val="nil"/>
            </w:tcBorders>
            <w:vAlign w:val="center"/>
            <w:hideMark/>
          </w:tcPr>
          <w:p w14:paraId="1F141D6C"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54.99***</w:t>
            </w:r>
          </w:p>
        </w:tc>
      </w:tr>
      <w:tr w:rsidR="00E850E2" w:rsidRPr="00891442" w14:paraId="259C1471" w14:textId="77777777" w:rsidTr="00217E39">
        <w:trPr>
          <w:trHeight w:val="20"/>
          <w:jc w:val="center"/>
        </w:trPr>
        <w:tc>
          <w:tcPr>
            <w:tcW w:w="0" w:type="auto"/>
            <w:tcBorders>
              <w:top w:val="nil"/>
              <w:left w:val="nil"/>
              <w:bottom w:val="single" w:sz="12" w:space="0" w:color="auto"/>
              <w:right w:val="nil"/>
            </w:tcBorders>
            <w:vAlign w:val="center"/>
            <w:hideMark/>
          </w:tcPr>
          <w:p w14:paraId="21A533F2"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r w:rsidRPr="00891442">
              <w:rPr>
                <w:rFonts w:ascii="Times New Roman" w:eastAsia="Times New Roman" w:hAnsi="Times New Roman" w:cs="Times New Roman"/>
                <w:i/>
                <w:iCs/>
                <w:color w:val="000000"/>
                <w:kern w:val="0"/>
                <w:lang w:val="it-IT" w:eastAsia="it-IT"/>
                <w14:ligatures w14:val="none"/>
              </w:rPr>
              <w:t>N</w:t>
            </w:r>
          </w:p>
        </w:tc>
        <w:tc>
          <w:tcPr>
            <w:tcW w:w="0" w:type="auto"/>
            <w:tcBorders>
              <w:top w:val="nil"/>
              <w:left w:val="nil"/>
              <w:bottom w:val="single" w:sz="12" w:space="0" w:color="auto"/>
              <w:right w:val="nil"/>
            </w:tcBorders>
            <w:vAlign w:val="center"/>
            <w:hideMark/>
          </w:tcPr>
          <w:p w14:paraId="59C6965E"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2,982</w:t>
            </w:r>
          </w:p>
        </w:tc>
        <w:tc>
          <w:tcPr>
            <w:tcW w:w="0" w:type="auto"/>
            <w:tcBorders>
              <w:top w:val="nil"/>
              <w:left w:val="nil"/>
              <w:bottom w:val="single" w:sz="12" w:space="0" w:color="auto"/>
              <w:right w:val="nil"/>
            </w:tcBorders>
            <w:vAlign w:val="center"/>
            <w:hideMark/>
          </w:tcPr>
          <w:p w14:paraId="32836A9E"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2,982</w:t>
            </w:r>
          </w:p>
        </w:tc>
        <w:tc>
          <w:tcPr>
            <w:tcW w:w="0" w:type="auto"/>
            <w:tcBorders>
              <w:top w:val="nil"/>
              <w:left w:val="nil"/>
              <w:bottom w:val="single" w:sz="12" w:space="0" w:color="auto"/>
              <w:right w:val="nil"/>
            </w:tcBorders>
            <w:vAlign w:val="center"/>
            <w:hideMark/>
          </w:tcPr>
          <w:p w14:paraId="769DFA66"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2,982</w:t>
            </w:r>
          </w:p>
        </w:tc>
      </w:tr>
      <w:tr w:rsidR="00E850E2" w:rsidRPr="00891442" w14:paraId="5F67E09E" w14:textId="77777777" w:rsidTr="00217E39">
        <w:trPr>
          <w:trHeight w:val="20"/>
          <w:jc w:val="center"/>
        </w:trPr>
        <w:tc>
          <w:tcPr>
            <w:tcW w:w="0" w:type="auto"/>
            <w:tcBorders>
              <w:top w:val="nil"/>
              <w:left w:val="nil"/>
              <w:bottom w:val="single" w:sz="12" w:space="0" w:color="auto"/>
              <w:right w:val="nil"/>
            </w:tcBorders>
            <w:vAlign w:val="center"/>
            <w:hideMark/>
          </w:tcPr>
          <w:p w14:paraId="6FC8F06A" w14:textId="77777777" w:rsidR="00E850E2" w:rsidRPr="00891442"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91442">
              <w:rPr>
                <w:rFonts w:ascii="Times New Roman" w:eastAsia="Times New Roman" w:hAnsi="Times New Roman" w:cs="Times New Roman"/>
                <w:i/>
                <w:iCs/>
                <w:color w:val="000000"/>
                <w:kern w:val="0"/>
                <w:lang w:val="it-IT" w:eastAsia="it-IT"/>
                <w14:ligatures w14:val="none"/>
              </w:rPr>
              <w:t>Instrumental</w:t>
            </w:r>
            <w:proofErr w:type="spellEnd"/>
            <w:r w:rsidRPr="00891442">
              <w:rPr>
                <w:rFonts w:ascii="Times New Roman" w:eastAsia="Times New Roman" w:hAnsi="Times New Roman" w:cs="Times New Roman"/>
                <w:i/>
                <w:iCs/>
                <w:color w:val="000000"/>
                <w:kern w:val="0"/>
                <w:lang w:val="it-IT" w:eastAsia="it-IT"/>
                <w14:ligatures w14:val="none"/>
              </w:rPr>
              <w:t xml:space="preserve"> lags</w:t>
            </w:r>
          </w:p>
        </w:tc>
        <w:tc>
          <w:tcPr>
            <w:tcW w:w="0" w:type="auto"/>
            <w:tcBorders>
              <w:top w:val="nil"/>
              <w:left w:val="nil"/>
              <w:bottom w:val="single" w:sz="12" w:space="0" w:color="auto"/>
              <w:right w:val="nil"/>
            </w:tcBorders>
            <w:vAlign w:val="center"/>
            <w:hideMark/>
          </w:tcPr>
          <w:p w14:paraId="0ABC09A6"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w:t>
            </w:r>
          </w:p>
        </w:tc>
        <w:tc>
          <w:tcPr>
            <w:tcW w:w="0" w:type="auto"/>
            <w:tcBorders>
              <w:top w:val="nil"/>
              <w:left w:val="nil"/>
              <w:bottom w:val="single" w:sz="12" w:space="0" w:color="auto"/>
              <w:right w:val="nil"/>
            </w:tcBorders>
            <w:vAlign w:val="center"/>
            <w:hideMark/>
          </w:tcPr>
          <w:p w14:paraId="6ACAD16F"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w:t>
            </w:r>
          </w:p>
        </w:tc>
        <w:tc>
          <w:tcPr>
            <w:tcW w:w="0" w:type="auto"/>
            <w:tcBorders>
              <w:top w:val="nil"/>
              <w:left w:val="nil"/>
              <w:bottom w:val="single" w:sz="12" w:space="0" w:color="auto"/>
              <w:right w:val="nil"/>
            </w:tcBorders>
            <w:vAlign w:val="center"/>
            <w:hideMark/>
          </w:tcPr>
          <w:p w14:paraId="01D18F02" w14:textId="77777777" w:rsidR="00E850E2" w:rsidRPr="00891442" w:rsidRDefault="00E850E2" w:rsidP="00217E39">
            <w:pPr>
              <w:rPr>
                <w:rFonts w:ascii="Times New Roman" w:eastAsia="Times New Roman" w:hAnsi="Times New Roman" w:cs="Times New Roman"/>
                <w:color w:val="000000"/>
                <w:kern w:val="0"/>
                <w:lang w:val="it-IT" w:eastAsia="it-IT"/>
                <w14:ligatures w14:val="none"/>
              </w:rPr>
            </w:pPr>
            <w:r w:rsidRPr="00891442">
              <w:rPr>
                <w:rFonts w:ascii="Times New Roman" w:eastAsia="Times New Roman" w:hAnsi="Times New Roman" w:cs="Times New Roman"/>
                <w:color w:val="000000"/>
                <w:kern w:val="0"/>
                <w:lang w:val="it-IT" w:eastAsia="it-IT"/>
                <w14:ligatures w14:val="none"/>
              </w:rPr>
              <w:t>2</w:t>
            </w:r>
          </w:p>
        </w:tc>
      </w:tr>
    </w:tbl>
    <w:p w14:paraId="2F2103A4" w14:textId="77777777" w:rsidR="00E850E2" w:rsidRDefault="00E850E2" w:rsidP="00E850E2">
      <w:pPr>
        <w:jc w:val="both"/>
        <w:rPr>
          <w:rFonts w:ascii="Times New Roman" w:hAnsi="Times New Roman" w:cs="Times New Roman"/>
          <w:b/>
          <w:bCs/>
          <w:kern w:val="0"/>
        </w:rPr>
      </w:pPr>
      <w:r w:rsidRPr="00891442">
        <w:rPr>
          <w:rFonts w:ascii="Times New Roman" w:eastAsia="Times New Roman" w:hAnsi="Times New Roman" w:cs="Times New Roman"/>
          <w:i/>
          <w:iCs/>
          <w:color w:val="000000"/>
          <w:kern w:val="0"/>
          <w:sz w:val="18"/>
          <w:szCs w:val="18"/>
          <w:lang w:val="en-GB" w:eastAsia="it-IT"/>
          <w14:ligatures w14:val="none"/>
        </w:rPr>
        <w:t xml:space="preserve">Notes: Dependent variable: </w:t>
      </w:r>
      <w:proofErr w:type="spellStart"/>
      <w:r w:rsidRPr="00891442">
        <w:rPr>
          <w:rFonts w:ascii="Times New Roman" w:eastAsia="Times New Roman" w:hAnsi="Times New Roman" w:cs="Times New Roman"/>
          <w:i/>
          <w:iCs/>
          <w:color w:val="000000"/>
          <w:kern w:val="0"/>
          <w:sz w:val="18"/>
          <w:szCs w:val="18"/>
          <w:lang w:val="en-GB" w:eastAsia="it-IT"/>
          <w14:ligatures w14:val="none"/>
        </w:rPr>
        <w:t>envTBT</w:t>
      </w:r>
      <w:proofErr w:type="spellEnd"/>
      <w:r w:rsidRPr="00891442">
        <w:rPr>
          <w:rFonts w:ascii="Times New Roman" w:eastAsia="Times New Roman" w:hAnsi="Times New Roman" w:cs="Times New Roman"/>
          <w:i/>
          <w:iCs/>
          <w:color w:val="000000"/>
          <w:kern w:val="0"/>
          <w:sz w:val="18"/>
          <w:szCs w:val="18"/>
          <w:lang w:val="en-GB" w:eastAsia="it-IT"/>
          <w14:ligatures w14:val="none"/>
        </w:rPr>
        <w:t xml:space="preserve"> (count of TBT notifications on fertilizers and pesticides). RTA </w:t>
      </w:r>
      <w:proofErr w:type="spellStart"/>
      <w:r w:rsidRPr="00891442">
        <w:rPr>
          <w:rFonts w:ascii="Times New Roman" w:eastAsia="Times New Roman" w:hAnsi="Times New Roman" w:cs="Times New Roman"/>
          <w:i/>
          <w:iCs/>
          <w:color w:val="000000"/>
          <w:kern w:val="0"/>
          <w:sz w:val="18"/>
          <w:szCs w:val="18"/>
          <w:lang w:val="en-GB" w:eastAsia="it-IT"/>
          <w14:ligatures w14:val="none"/>
        </w:rPr>
        <w:t>Fert&amp;Pest</w:t>
      </w:r>
      <w:proofErr w:type="spellEnd"/>
      <w:r w:rsidRPr="00891442">
        <w:rPr>
          <w:rFonts w:ascii="Times New Roman" w:eastAsia="Times New Roman" w:hAnsi="Times New Roman" w:cs="Times New Roman"/>
          <w:i/>
          <w:iCs/>
          <w:color w:val="000000"/>
          <w:kern w:val="0"/>
          <w:sz w:val="18"/>
          <w:szCs w:val="18"/>
          <w:lang w:val="en-GB" w:eastAsia="it-IT"/>
          <w14:ligatures w14:val="none"/>
        </w:rPr>
        <w:t xml:space="preserve">: no. of RTAs with provisions on fertilizers/pesticides (TREND 10.25); RTA Organic: provisions on organic food (TREND 10.26); Tariff </w:t>
      </w:r>
      <w:proofErr w:type="gramStart"/>
      <w:r w:rsidRPr="00891442">
        <w:rPr>
          <w:rFonts w:ascii="Times New Roman" w:eastAsia="Times New Roman" w:hAnsi="Times New Roman" w:cs="Times New Roman"/>
          <w:i/>
          <w:iCs/>
          <w:color w:val="000000"/>
          <w:kern w:val="0"/>
          <w:sz w:val="18"/>
          <w:szCs w:val="18"/>
          <w:lang w:val="en-GB" w:eastAsia="it-IT"/>
          <w14:ligatures w14:val="none"/>
        </w:rPr>
        <w:t>Pest./</w:t>
      </w:r>
      <w:proofErr w:type="gramEnd"/>
      <w:r w:rsidRPr="00891442">
        <w:rPr>
          <w:rFonts w:ascii="Times New Roman" w:eastAsia="Times New Roman" w:hAnsi="Times New Roman" w:cs="Times New Roman"/>
          <w:i/>
          <w:iCs/>
          <w:color w:val="000000"/>
          <w:kern w:val="0"/>
          <w:sz w:val="18"/>
          <w:szCs w:val="18"/>
          <w:lang w:val="en-GB" w:eastAsia="it-IT"/>
          <w14:ligatures w14:val="none"/>
        </w:rPr>
        <w:t xml:space="preserve">Fert.: applied tariff rates; </w:t>
      </w:r>
      <w:proofErr w:type="spellStart"/>
      <w:r w:rsidRPr="00891442">
        <w:rPr>
          <w:rFonts w:ascii="Times New Roman" w:eastAsia="Times New Roman" w:hAnsi="Times New Roman" w:cs="Times New Roman"/>
          <w:i/>
          <w:iCs/>
          <w:color w:val="000000"/>
          <w:kern w:val="0"/>
          <w:sz w:val="18"/>
          <w:szCs w:val="18"/>
          <w:lang w:val="en-GB" w:eastAsia="it-IT"/>
          <w14:ligatures w14:val="none"/>
        </w:rPr>
        <w:t>Agr</w:t>
      </w:r>
      <w:proofErr w:type="spellEnd"/>
      <w:r w:rsidRPr="00891442">
        <w:rPr>
          <w:rFonts w:ascii="Times New Roman" w:eastAsia="Times New Roman" w:hAnsi="Times New Roman" w:cs="Times New Roman"/>
          <w:i/>
          <w:iCs/>
          <w:color w:val="000000"/>
          <w:kern w:val="0"/>
          <w:sz w:val="18"/>
          <w:szCs w:val="18"/>
          <w:lang w:val="en-GB" w:eastAsia="it-IT"/>
          <w14:ligatures w14:val="none"/>
        </w:rPr>
        <w:t xml:space="preserve">. Trade Share: agricultural trade as % of total; EPI Score: average of SNM and SPU indices (Yale EPI). All specifications include country FE. </w:t>
      </w:r>
      <w:proofErr w:type="spellStart"/>
      <w:r w:rsidRPr="00891442">
        <w:rPr>
          <w:rFonts w:ascii="Times New Roman" w:eastAsia="Times New Roman" w:hAnsi="Times New Roman" w:cs="Times New Roman"/>
          <w:i/>
          <w:iCs/>
          <w:color w:val="000000"/>
          <w:kern w:val="0"/>
          <w:sz w:val="18"/>
          <w:szCs w:val="18"/>
          <w:lang w:val="en-GB" w:eastAsia="it-IT"/>
          <w14:ligatures w14:val="none"/>
        </w:rPr>
        <w:t>envRTA</w:t>
      </w:r>
      <w:proofErr w:type="spellEnd"/>
      <w:r w:rsidRPr="00891442">
        <w:rPr>
          <w:rFonts w:ascii="Times New Roman" w:eastAsia="Times New Roman" w:hAnsi="Times New Roman" w:cs="Times New Roman"/>
          <w:i/>
          <w:iCs/>
          <w:color w:val="000000"/>
          <w:kern w:val="0"/>
          <w:sz w:val="18"/>
          <w:szCs w:val="18"/>
          <w:lang w:val="en-GB" w:eastAsia="it-IT"/>
          <w14:ligatures w14:val="none"/>
        </w:rPr>
        <w:t xml:space="preserve"> and RTA </w:t>
      </w:r>
      <w:proofErr w:type="spellStart"/>
      <w:r w:rsidRPr="00891442">
        <w:rPr>
          <w:rFonts w:ascii="Times New Roman" w:eastAsia="Times New Roman" w:hAnsi="Times New Roman" w:cs="Times New Roman"/>
          <w:i/>
          <w:iCs/>
          <w:color w:val="000000"/>
          <w:kern w:val="0"/>
          <w:sz w:val="18"/>
          <w:szCs w:val="18"/>
          <w:lang w:val="en-GB" w:eastAsia="it-IT"/>
          <w14:ligatures w14:val="none"/>
        </w:rPr>
        <w:t>Fert&amp;Pest</w:t>
      </w:r>
      <w:proofErr w:type="spellEnd"/>
      <w:r w:rsidRPr="00891442">
        <w:rPr>
          <w:rFonts w:ascii="Times New Roman" w:eastAsia="Times New Roman" w:hAnsi="Times New Roman" w:cs="Times New Roman"/>
          <w:i/>
          <w:iCs/>
          <w:color w:val="000000"/>
          <w:kern w:val="0"/>
          <w:sz w:val="18"/>
          <w:szCs w:val="18"/>
          <w:lang w:val="en-GB" w:eastAsia="it-IT"/>
          <w14:ligatures w14:val="none"/>
        </w:rPr>
        <w:t xml:space="preserve"> instrumented with their second lag. </w:t>
      </w:r>
      <w:r>
        <w:rPr>
          <w:rFonts w:ascii="Times New Roman" w:eastAsia="Times New Roman" w:hAnsi="Times New Roman" w:cs="Times New Roman"/>
          <w:i/>
          <w:iCs/>
          <w:color w:val="000000"/>
          <w:kern w:val="0"/>
          <w:sz w:val="18"/>
          <w:szCs w:val="18"/>
          <w:lang w:val="en-GB" w:eastAsia="it-IT"/>
          <w14:ligatures w14:val="none"/>
        </w:rPr>
        <w:t>R</w:t>
      </w:r>
      <w:r w:rsidRPr="00891442">
        <w:rPr>
          <w:rFonts w:ascii="Times New Roman" w:eastAsia="Times New Roman" w:hAnsi="Times New Roman" w:cs="Times New Roman"/>
          <w:i/>
          <w:iCs/>
          <w:color w:val="000000"/>
          <w:kern w:val="0"/>
          <w:sz w:val="18"/>
          <w:szCs w:val="18"/>
          <w:lang w:val="en-GB" w:eastAsia="it-IT"/>
          <w14:ligatures w14:val="none"/>
        </w:rPr>
        <w:t>obust standard errors in parentheses. *** p&lt;0.01, ** p&lt;0.05, * p&lt;0.1.</w:t>
      </w:r>
      <w:r>
        <w:rPr>
          <w:rFonts w:ascii="Times New Roman" w:hAnsi="Times New Roman" w:cs="Times New Roman"/>
          <w:b/>
          <w:bCs/>
          <w:kern w:val="0"/>
        </w:rPr>
        <w:br w:type="page"/>
      </w:r>
    </w:p>
    <w:p w14:paraId="209566D3" w14:textId="77777777" w:rsidR="00E850E2" w:rsidRPr="008A3160" w:rsidRDefault="00E850E2" w:rsidP="00E850E2">
      <w:pPr>
        <w:autoSpaceDE w:val="0"/>
        <w:autoSpaceDN w:val="0"/>
        <w:adjustRightInd w:val="0"/>
        <w:jc w:val="both"/>
        <w:rPr>
          <w:rFonts w:ascii="Times New Roman" w:hAnsi="Times New Roman" w:cs="Times New Roman"/>
          <w:b/>
          <w:bCs/>
          <w:kern w:val="0"/>
        </w:rPr>
      </w:pPr>
      <w:r w:rsidRPr="008A3160">
        <w:rPr>
          <w:rFonts w:ascii="Times New Roman" w:hAnsi="Times New Roman" w:cs="Times New Roman"/>
          <w:b/>
          <w:bCs/>
          <w:kern w:val="0"/>
        </w:rPr>
        <w:lastRenderedPageBreak/>
        <w:t xml:space="preserve">Table 2:  Dynamic panel model estimates </w:t>
      </w:r>
    </w:p>
    <w:tbl>
      <w:tblPr>
        <w:tblW w:w="5000" w:type="pct"/>
        <w:tblCellMar>
          <w:left w:w="70" w:type="dxa"/>
          <w:right w:w="70" w:type="dxa"/>
        </w:tblCellMar>
        <w:tblLook w:val="0000" w:firstRow="0" w:lastRow="0" w:firstColumn="0" w:lastColumn="0" w:noHBand="0" w:noVBand="0"/>
      </w:tblPr>
      <w:tblGrid>
        <w:gridCol w:w="9349"/>
      </w:tblGrid>
      <w:tr w:rsidR="00E850E2" w:rsidRPr="008A3160" w14:paraId="745E318C" w14:textId="77777777" w:rsidTr="00217E39">
        <w:trPr>
          <w:trHeight w:val="300"/>
        </w:trPr>
        <w:tc>
          <w:tcPr>
            <w:tcW w:w="5000" w:type="pct"/>
            <w:tcBorders>
              <w:top w:val="nil"/>
              <w:left w:val="nil"/>
              <w:bottom w:val="nil"/>
              <w:right w:val="nil"/>
            </w:tcBorders>
          </w:tcPr>
          <w:tbl>
            <w:tblPr>
              <w:tblW w:w="5705" w:type="dxa"/>
              <w:tblCellMar>
                <w:left w:w="70" w:type="dxa"/>
                <w:right w:w="70" w:type="dxa"/>
              </w:tblCellMar>
              <w:tblLook w:val="04A0" w:firstRow="1" w:lastRow="0" w:firstColumn="1" w:lastColumn="0" w:noHBand="0" w:noVBand="1"/>
            </w:tblPr>
            <w:tblGrid>
              <w:gridCol w:w="2763"/>
              <w:gridCol w:w="1280"/>
              <w:gridCol w:w="1280"/>
              <w:gridCol w:w="1160"/>
            </w:tblGrid>
            <w:tr w:rsidR="00E850E2" w:rsidRPr="008A3160" w14:paraId="4AF6E405" w14:textId="77777777" w:rsidTr="00217E39">
              <w:trPr>
                <w:trHeight w:val="300"/>
              </w:trPr>
              <w:tc>
                <w:tcPr>
                  <w:tcW w:w="2763" w:type="dxa"/>
                  <w:tcBorders>
                    <w:top w:val="single" w:sz="8" w:space="0" w:color="auto"/>
                    <w:left w:val="nil"/>
                    <w:bottom w:val="single" w:sz="8" w:space="0" w:color="auto"/>
                    <w:right w:val="nil"/>
                  </w:tcBorders>
                  <w:noWrap/>
                  <w:vAlign w:val="center"/>
                  <w:hideMark/>
                </w:tcPr>
                <w:p w14:paraId="1E9661A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eastAsia="it-IT"/>
                      <w14:ligatures w14:val="none"/>
                    </w:rPr>
                    <w:t> </w:t>
                  </w:r>
                </w:p>
              </w:tc>
              <w:tc>
                <w:tcPr>
                  <w:tcW w:w="708" w:type="dxa"/>
                  <w:tcBorders>
                    <w:top w:val="single" w:sz="8" w:space="0" w:color="auto"/>
                    <w:left w:val="nil"/>
                    <w:bottom w:val="single" w:sz="8" w:space="0" w:color="auto"/>
                    <w:right w:val="nil"/>
                  </w:tcBorders>
                  <w:noWrap/>
                  <w:vAlign w:val="center"/>
                  <w:hideMark/>
                </w:tcPr>
                <w:p w14:paraId="0A2C211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(4)</w:t>
                  </w:r>
                </w:p>
              </w:tc>
              <w:tc>
                <w:tcPr>
                  <w:tcW w:w="1171" w:type="dxa"/>
                  <w:tcBorders>
                    <w:top w:val="single" w:sz="8" w:space="0" w:color="auto"/>
                    <w:left w:val="nil"/>
                    <w:bottom w:val="single" w:sz="8" w:space="0" w:color="auto"/>
                    <w:right w:val="nil"/>
                  </w:tcBorders>
                  <w:noWrap/>
                  <w:vAlign w:val="center"/>
                  <w:hideMark/>
                </w:tcPr>
                <w:p w14:paraId="59FDA99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(5)</w:t>
                  </w:r>
                </w:p>
              </w:tc>
              <w:tc>
                <w:tcPr>
                  <w:tcW w:w="1063" w:type="dxa"/>
                  <w:tcBorders>
                    <w:top w:val="single" w:sz="8" w:space="0" w:color="auto"/>
                    <w:left w:val="nil"/>
                    <w:bottom w:val="single" w:sz="8" w:space="0" w:color="auto"/>
                    <w:right w:val="nil"/>
                  </w:tcBorders>
                  <w:noWrap/>
                  <w:vAlign w:val="center"/>
                  <w:hideMark/>
                </w:tcPr>
                <w:p w14:paraId="7360284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(6)</w:t>
                  </w:r>
                </w:p>
              </w:tc>
            </w:tr>
            <w:tr w:rsidR="00E850E2" w:rsidRPr="008A3160" w14:paraId="4D96ADAA" w14:textId="77777777" w:rsidTr="00217E39">
              <w:trPr>
                <w:trHeight w:val="300"/>
              </w:trPr>
              <w:tc>
                <w:tcPr>
                  <w:tcW w:w="2763" w:type="dxa"/>
                  <w:tcBorders>
                    <w:top w:val="nil"/>
                    <w:left w:val="nil"/>
                    <w:bottom w:val="single" w:sz="8" w:space="0" w:color="auto"/>
                    <w:right w:val="nil"/>
                  </w:tcBorders>
                  <w:noWrap/>
                  <w:vAlign w:val="center"/>
                  <w:hideMark/>
                </w:tcPr>
                <w:p w14:paraId="7C9669C1"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w:t>
                  </w:r>
                </w:p>
              </w:tc>
              <w:tc>
                <w:tcPr>
                  <w:tcW w:w="708" w:type="dxa"/>
                  <w:tcBorders>
                    <w:top w:val="nil"/>
                    <w:left w:val="nil"/>
                    <w:bottom w:val="single" w:sz="8" w:space="0" w:color="auto"/>
                    <w:right w:val="nil"/>
                  </w:tcBorders>
                  <w:noWrap/>
                  <w:vAlign w:val="center"/>
                  <w:hideMark/>
                </w:tcPr>
                <w:p w14:paraId="31641E6E"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Dynamic </w:t>
                  </w:r>
                </w:p>
              </w:tc>
              <w:tc>
                <w:tcPr>
                  <w:tcW w:w="1171" w:type="dxa"/>
                  <w:tcBorders>
                    <w:top w:val="nil"/>
                    <w:left w:val="nil"/>
                    <w:bottom w:val="single" w:sz="8" w:space="0" w:color="auto"/>
                    <w:right w:val="nil"/>
                  </w:tcBorders>
                  <w:noWrap/>
                  <w:vAlign w:val="center"/>
                  <w:hideMark/>
                </w:tcPr>
                <w:p w14:paraId="68F02B77"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Dynamic </w:t>
                  </w:r>
                </w:p>
              </w:tc>
              <w:tc>
                <w:tcPr>
                  <w:tcW w:w="1063" w:type="dxa"/>
                  <w:tcBorders>
                    <w:top w:val="nil"/>
                    <w:left w:val="nil"/>
                    <w:bottom w:val="single" w:sz="8" w:space="0" w:color="auto"/>
                    <w:right w:val="nil"/>
                  </w:tcBorders>
                  <w:noWrap/>
                  <w:vAlign w:val="center"/>
                  <w:hideMark/>
                </w:tcPr>
                <w:p w14:paraId="60C05556"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Dynamic </w:t>
                  </w:r>
                </w:p>
              </w:tc>
            </w:tr>
            <w:tr w:rsidR="00E850E2" w:rsidRPr="008A3160" w14:paraId="6840170F" w14:textId="77777777" w:rsidTr="00217E39">
              <w:trPr>
                <w:trHeight w:val="288"/>
              </w:trPr>
              <w:tc>
                <w:tcPr>
                  <w:tcW w:w="2763" w:type="dxa"/>
                  <w:vMerge w:val="restart"/>
                  <w:tcBorders>
                    <w:top w:val="nil"/>
                    <w:left w:val="nil"/>
                    <w:bottom w:val="nil"/>
                    <w:right w:val="nil"/>
                  </w:tcBorders>
                  <w:noWrap/>
                  <w:vAlign w:val="center"/>
                  <w:hideMark/>
                </w:tcPr>
                <w:p w14:paraId="28914267"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Lag (TBT)</w:t>
                  </w:r>
                </w:p>
              </w:tc>
              <w:tc>
                <w:tcPr>
                  <w:tcW w:w="708" w:type="dxa"/>
                  <w:tcBorders>
                    <w:top w:val="nil"/>
                    <w:left w:val="nil"/>
                    <w:bottom w:val="nil"/>
                    <w:right w:val="nil"/>
                  </w:tcBorders>
                  <w:noWrap/>
                  <w:vAlign w:val="center"/>
                  <w:hideMark/>
                </w:tcPr>
                <w:p w14:paraId="67AD359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0.424***</w:t>
                  </w:r>
                </w:p>
              </w:tc>
              <w:tc>
                <w:tcPr>
                  <w:tcW w:w="1171" w:type="dxa"/>
                  <w:tcBorders>
                    <w:top w:val="nil"/>
                    <w:left w:val="nil"/>
                    <w:bottom w:val="nil"/>
                    <w:right w:val="nil"/>
                  </w:tcBorders>
                  <w:noWrap/>
                  <w:vAlign w:val="center"/>
                  <w:hideMark/>
                </w:tcPr>
                <w:p w14:paraId="7AEEE42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0.425***</w:t>
                  </w:r>
                </w:p>
              </w:tc>
              <w:tc>
                <w:tcPr>
                  <w:tcW w:w="1063" w:type="dxa"/>
                  <w:tcBorders>
                    <w:top w:val="nil"/>
                    <w:left w:val="nil"/>
                    <w:bottom w:val="nil"/>
                    <w:right w:val="nil"/>
                  </w:tcBorders>
                  <w:noWrap/>
                  <w:vAlign w:val="center"/>
                  <w:hideMark/>
                </w:tcPr>
                <w:p w14:paraId="39B4CD9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0.424***</w:t>
                  </w:r>
                </w:p>
              </w:tc>
            </w:tr>
            <w:tr w:rsidR="00E850E2" w:rsidRPr="008A3160" w14:paraId="17550E87" w14:textId="77777777" w:rsidTr="00217E39">
              <w:trPr>
                <w:trHeight w:val="288"/>
              </w:trPr>
              <w:tc>
                <w:tcPr>
                  <w:tcW w:w="2763" w:type="dxa"/>
                  <w:vMerge/>
                  <w:tcBorders>
                    <w:top w:val="nil"/>
                    <w:left w:val="nil"/>
                    <w:bottom w:val="nil"/>
                    <w:right w:val="nil"/>
                  </w:tcBorders>
                  <w:vAlign w:val="center"/>
                  <w:hideMark/>
                </w:tcPr>
                <w:p w14:paraId="7DC1884A"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708" w:type="dxa"/>
                  <w:tcBorders>
                    <w:top w:val="nil"/>
                    <w:left w:val="nil"/>
                    <w:bottom w:val="nil"/>
                    <w:right w:val="nil"/>
                  </w:tcBorders>
                  <w:noWrap/>
                  <w:vAlign w:val="center"/>
                  <w:hideMark/>
                </w:tcPr>
                <w:p w14:paraId="04968A0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0.077</w:t>
                  </w:r>
                </w:p>
              </w:tc>
              <w:tc>
                <w:tcPr>
                  <w:tcW w:w="1171" w:type="dxa"/>
                  <w:tcBorders>
                    <w:top w:val="nil"/>
                    <w:left w:val="nil"/>
                    <w:bottom w:val="nil"/>
                    <w:right w:val="nil"/>
                  </w:tcBorders>
                  <w:noWrap/>
                  <w:vAlign w:val="center"/>
                  <w:hideMark/>
                </w:tcPr>
                <w:p w14:paraId="1E39EDD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0.077</w:t>
                  </w:r>
                </w:p>
              </w:tc>
              <w:tc>
                <w:tcPr>
                  <w:tcW w:w="1063" w:type="dxa"/>
                  <w:tcBorders>
                    <w:top w:val="nil"/>
                    <w:left w:val="nil"/>
                    <w:bottom w:val="nil"/>
                    <w:right w:val="nil"/>
                  </w:tcBorders>
                  <w:noWrap/>
                  <w:vAlign w:val="center"/>
                  <w:hideMark/>
                </w:tcPr>
                <w:p w14:paraId="2F66D70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0.078</w:t>
                  </w:r>
                </w:p>
              </w:tc>
            </w:tr>
            <w:tr w:rsidR="00E850E2" w:rsidRPr="008A3160" w14:paraId="549BFCBE" w14:textId="77777777" w:rsidTr="00217E39">
              <w:trPr>
                <w:trHeight w:val="312"/>
              </w:trPr>
              <w:tc>
                <w:tcPr>
                  <w:tcW w:w="2763" w:type="dxa"/>
                  <w:vMerge w:val="restart"/>
                  <w:tcBorders>
                    <w:top w:val="nil"/>
                    <w:left w:val="nil"/>
                    <w:bottom w:val="nil"/>
                    <w:right w:val="nil"/>
                  </w:tcBorders>
                  <w:noWrap/>
                  <w:vAlign w:val="center"/>
                  <w:hideMark/>
                </w:tcPr>
                <w:p w14:paraId="351B0DBC"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envRTA</w:t>
                  </w:r>
                  <w:proofErr w:type="spellEnd"/>
                </w:p>
              </w:tc>
              <w:tc>
                <w:tcPr>
                  <w:tcW w:w="708" w:type="dxa"/>
                  <w:tcBorders>
                    <w:top w:val="nil"/>
                    <w:left w:val="nil"/>
                    <w:bottom w:val="nil"/>
                    <w:right w:val="nil"/>
                  </w:tcBorders>
                  <w:noWrap/>
                  <w:vAlign w:val="center"/>
                  <w:hideMark/>
                </w:tcPr>
                <w:p w14:paraId="69EAC41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0.306***</w:t>
                  </w:r>
                </w:p>
              </w:tc>
              <w:tc>
                <w:tcPr>
                  <w:tcW w:w="1171" w:type="dxa"/>
                  <w:tcBorders>
                    <w:top w:val="nil"/>
                    <w:left w:val="nil"/>
                    <w:bottom w:val="nil"/>
                    <w:right w:val="nil"/>
                  </w:tcBorders>
                  <w:noWrap/>
                  <w:vAlign w:val="bottom"/>
                  <w:hideMark/>
                </w:tcPr>
                <w:p w14:paraId="6E712AD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1063" w:type="dxa"/>
                  <w:tcBorders>
                    <w:top w:val="nil"/>
                    <w:left w:val="nil"/>
                    <w:bottom w:val="nil"/>
                    <w:right w:val="nil"/>
                  </w:tcBorders>
                  <w:noWrap/>
                  <w:vAlign w:val="bottom"/>
                  <w:hideMark/>
                </w:tcPr>
                <w:p w14:paraId="0685C324" w14:textId="77777777" w:rsidR="00E850E2" w:rsidRPr="008A3160" w:rsidRDefault="00E850E2" w:rsidP="00217E39">
                  <w:pPr>
                    <w:rPr>
                      <w:rFonts w:ascii="Times New Roman" w:eastAsia="Times New Roman" w:hAnsi="Times New Roman" w:cs="Times New Roman"/>
                      <w:kern w:val="0"/>
                      <w:lang w:val="it-IT" w:eastAsia="it-IT"/>
                      <w14:ligatures w14:val="none"/>
                    </w:rPr>
                  </w:pPr>
                </w:p>
              </w:tc>
            </w:tr>
            <w:tr w:rsidR="00E850E2" w:rsidRPr="008A3160" w14:paraId="4ABD6CE4" w14:textId="77777777" w:rsidTr="00217E39">
              <w:trPr>
                <w:trHeight w:val="312"/>
              </w:trPr>
              <w:tc>
                <w:tcPr>
                  <w:tcW w:w="2763" w:type="dxa"/>
                  <w:vMerge/>
                  <w:tcBorders>
                    <w:top w:val="nil"/>
                    <w:left w:val="nil"/>
                    <w:bottom w:val="nil"/>
                    <w:right w:val="nil"/>
                  </w:tcBorders>
                  <w:vAlign w:val="center"/>
                  <w:hideMark/>
                </w:tcPr>
                <w:p w14:paraId="7F3BD57E"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708" w:type="dxa"/>
                  <w:tcBorders>
                    <w:top w:val="nil"/>
                    <w:left w:val="nil"/>
                    <w:bottom w:val="nil"/>
                    <w:right w:val="nil"/>
                  </w:tcBorders>
                  <w:noWrap/>
                  <w:vAlign w:val="center"/>
                  <w:hideMark/>
                </w:tcPr>
                <w:p w14:paraId="357A462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0.084</w:t>
                  </w:r>
                </w:p>
              </w:tc>
              <w:tc>
                <w:tcPr>
                  <w:tcW w:w="1171" w:type="dxa"/>
                  <w:tcBorders>
                    <w:top w:val="nil"/>
                    <w:left w:val="nil"/>
                    <w:bottom w:val="nil"/>
                    <w:right w:val="nil"/>
                  </w:tcBorders>
                  <w:noWrap/>
                  <w:vAlign w:val="bottom"/>
                  <w:hideMark/>
                </w:tcPr>
                <w:p w14:paraId="2EE0FD2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1063" w:type="dxa"/>
                  <w:tcBorders>
                    <w:top w:val="nil"/>
                    <w:left w:val="nil"/>
                    <w:bottom w:val="nil"/>
                    <w:right w:val="nil"/>
                  </w:tcBorders>
                  <w:noWrap/>
                  <w:vAlign w:val="bottom"/>
                  <w:hideMark/>
                </w:tcPr>
                <w:p w14:paraId="085BF472" w14:textId="77777777" w:rsidR="00E850E2" w:rsidRPr="008A3160" w:rsidRDefault="00E850E2" w:rsidP="00217E39">
                  <w:pPr>
                    <w:rPr>
                      <w:rFonts w:ascii="Times New Roman" w:eastAsia="Times New Roman" w:hAnsi="Times New Roman" w:cs="Times New Roman"/>
                      <w:kern w:val="0"/>
                      <w:lang w:val="it-IT" w:eastAsia="it-IT"/>
                      <w14:ligatures w14:val="none"/>
                    </w:rPr>
                  </w:pPr>
                </w:p>
              </w:tc>
            </w:tr>
            <w:tr w:rsidR="00E850E2" w:rsidRPr="008A3160" w14:paraId="11A93416" w14:textId="77777777" w:rsidTr="00217E39">
              <w:trPr>
                <w:trHeight w:val="312"/>
              </w:trPr>
              <w:tc>
                <w:tcPr>
                  <w:tcW w:w="2763" w:type="dxa"/>
                  <w:vMerge w:val="restart"/>
                  <w:tcBorders>
                    <w:top w:val="nil"/>
                    <w:left w:val="nil"/>
                    <w:bottom w:val="nil"/>
                    <w:right w:val="nil"/>
                  </w:tcBorders>
                  <w:noWrap/>
                  <w:vAlign w:val="center"/>
                  <w:hideMark/>
                </w:tcPr>
                <w:p w14:paraId="60073880"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RTA1025</w:t>
                  </w:r>
                </w:p>
              </w:tc>
              <w:tc>
                <w:tcPr>
                  <w:tcW w:w="708" w:type="dxa"/>
                  <w:tcBorders>
                    <w:top w:val="nil"/>
                    <w:left w:val="nil"/>
                    <w:bottom w:val="nil"/>
                    <w:right w:val="nil"/>
                  </w:tcBorders>
                  <w:noWrap/>
                  <w:vAlign w:val="bottom"/>
                  <w:hideMark/>
                </w:tcPr>
                <w:p w14:paraId="100F5FE5"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1171" w:type="dxa"/>
                  <w:tcBorders>
                    <w:top w:val="nil"/>
                    <w:left w:val="nil"/>
                    <w:bottom w:val="nil"/>
                    <w:right w:val="nil"/>
                  </w:tcBorders>
                  <w:noWrap/>
                  <w:vAlign w:val="center"/>
                  <w:hideMark/>
                </w:tcPr>
                <w:p w14:paraId="38DE7C0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1.061</w:t>
                  </w:r>
                  <w:r w:rsidRPr="008A3160">
                    <w:rPr>
                      <w:rFonts w:ascii="Times New Roman" w:eastAsia="Times New Roman" w:hAnsi="Times New Roman" w:cs="Times New Roman"/>
                      <w:i/>
                      <w:iCs/>
                      <w:color w:val="000000"/>
                      <w:kern w:val="0"/>
                      <w:lang w:val="it-IT" w:eastAsia="it-IT"/>
                      <w14:ligatures w14:val="none"/>
                    </w:rPr>
                    <w:t>**</w:t>
                  </w:r>
                </w:p>
              </w:tc>
              <w:tc>
                <w:tcPr>
                  <w:tcW w:w="1063" w:type="dxa"/>
                  <w:tcBorders>
                    <w:top w:val="nil"/>
                    <w:left w:val="nil"/>
                    <w:bottom w:val="nil"/>
                    <w:right w:val="nil"/>
                  </w:tcBorders>
                  <w:noWrap/>
                  <w:vAlign w:val="center"/>
                  <w:hideMark/>
                </w:tcPr>
                <w:p w14:paraId="4A49F0D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1.059*</w:t>
                  </w:r>
                </w:p>
              </w:tc>
            </w:tr>
            <w:tr w:rsidR="00E850E2" w:rsidRPr="008A3160" w14:paraId="76116059" w14:textId="77777777" w:rsidTr="00217E39">
              <w:trPr>
                <w:trHeight w:val="312"/>
              </w:trPr>
              <w:tc>
                <w:tcPr>
                  <w:tcW w:w="2763" w:type="dxa"/>
                  <w:vMerge/>
                  <w:tcBorders>
                    <w:top w:val="nil"/>
                    <w:left w:val="nil"/>
                    <w:bottom w:val="nil"/>
                    <w:right w:val="nil"/>
                  </w:tcBorders>
                  <w:vAlign w:val="center"/>
                  <w:hideMark/>
                </w:tcPr>
                <w:p w14:paraId="233FEA83"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708" w:type="dxa"/>
                  <w:tcBorders>
                    <w:top w:val="nil"/>
                    <w:left w:val="nil"/>
                    <w:bottom w:val="nil"/>
                    <w:right w:val="nil"/>
                  </w:tcBorders>
                  <w:noWrap/>
                  <w:vAlign w:val="bottom"/>
                  <w:hideMark/>
                </w:tcPr>
                <w:p w14:paraId="6614781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1171" w:type="dxa"/>
                  <w:tcBorders>
                    <w:top w:val="nil"/>
                    <w:left w:val="nil"/>
                    <w:bottom w:val="nil"/>
                    <w:right w:val="nil"/>
                  </w:tcBorders>
                  <w:noWrap/>
                  <w:vAlign w:val="center"/>
                  <w:hideMark/>
                </w:tcPr>
                <w:p w14:paraId="3A509FD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0.504</w:t>
                  </w:r>
                </w:p>
              </w:tc>
              <w:tc>
                <w:tcPr>
                  <w:tcW w:w="1063" w:type="dxa"/>
                  <w:tcBorders>
                    <w:top w:val="nil"/>
                    <w:left w:val="nil"/>
                    <w:bottom w:val="nil"/>
                    <w:right w:val="nil"/>
                  </w:tcBorders>
                  <w:noWrap/>
                  <w:vAlign w:val="center"/>
                  <w:hideMark/>
                </w:tcPr>
                <w:p w14:paraId="420FE00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0.502</w:t>
                  </w:r>
                </w:p>
              </w:tc>
            </w:tr>
            <w:tr w:rsidR="00E850E2" w:rsidRPr="008A3160" w14:paraId="163CBB09" w14:textId="77777777" w:rsidTr="00217E39">
              <w:trPr>
                <w:trHeight w:val="312"/>
              </w:trPr>
              <w:tc>
                <w:tcPr>
                  <w:tcW w:w="2763" w:type="dxa"/>
                  <w:vMerge w:val="restart"/>
                  <w:tcBorders>
                    <w:top w:val="nil"/>
                    <w:left w:val="nil"/>
                    <w:bottom w:val="nil"/>
                    <w:right w:val="nil"/>
                  </w:tcBorders>
                  <w:noWrap/>
                  <w:vAlign w:val="center"/>
                  <w:hideMark/>
                </w:tcPr>
                <w:p w14:paraId="13AA3C4F"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RTA1026</w:t>
                  </w:r>
                </w:p>
              </w:tc>
              <w:tc>
                <w:tcPr>
                  <w:tcW w:w="708" w:type="dxa"/>
                  <w:tcBorders>
                    <w:top w:val="nil"/>
                    <w:left w:val="nil"/>
                    <w:bottom w:val="nil"/>
                    <w:right w:val="nil"/>
                  </w:tcBorders>
                  <w:noWrap/>
                  <w:vAlign w:val="bottom"/>
                  <w:hideMark/>
                </w:tcPr>
                <w:p w14:paraId="04D84D7D"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1171" w:type="dxa"/>
                  <w:tcBorders>
                    <w:top w:val="nil"/>
                    <w:left w:val="nil"/>
                    <w:bottom w:val="nil"/>
                    <w:right w:val="nil"/>
                  </w:tcBorders>
                  <w:noWrap/>
                  <w:vAlign w:val="center"/>
                  <w:hideMark/>
                </w:tcPr>
                <w:p w14:paraId="79215D0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-0.714</w:t>
                  </w:r>
                </w:p>
              </w:tc>
              <w:tc>
                <w:tcPr>
                  <w:tcW w:w="1063" w:type="dxa"/>
                  <w:tcBorders>
                    <w:top w:val="nil"/>
                    <w:left w:val="nil"/>
                    <w:bottom w:val="nil"/>
                    <w:right w:val="nil"/>
                  </w:tcBorders>
                  <w:noWrap/>
                  <w:vAlign w:val="center"/>
                  <w:hideMark/>
                </w:tcPr>
                <w:p w14:paraId="0FFA73E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-0.652</w:t>
                  </w:r>
                </w:p>
              </w:tc>
            </w:tr>
            <w:tr w:rsidR="00E850E2" w:rsidRPr="008A3160" w14:paraId="29C21116" w14:textId="77777777" w:rsidTr="00217E39">
              <w:trPr>
                <w:trHeight w:val="312"/>
              </w:trPr>
              <w:tc>
                <w:tcPr>
                  <w:tcW w:w="2763" w:type="dxa"/>
                  <w:vMerge/>
                  <w:tcBorders>
                    <w:top w:val="nil"/>
                    <w:left w:val="nil"/>
                    <w:bottom w:val="nil"/>
                    <w:right w:val="nil"/>
                  </w:tcBorders>
                  <w:vAlign w:val="center"/>
                  <w:hideMark/>
                </w:tcPr>
                <w:p w14:paraId="32E00D81"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708" w:type="dxa"/>
                  <w:tcBorders>
                    <w:top w:val="nil"/>
                    <w:left w:val="nil"/>
                    <w:bottom w:val="nil"/>
                    <w:right w:val="nil"/>
                  </w:tcBorders>
                  <w:noWrap/>
                  <w:vAlign w:val="bottom"/>
                  <w:hideMark/>
                </w:tcPr>
                <w:p w14:paraId="5872E16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1171" w:type="dxa"/>
                  <w:tcBorders>
                    <w:top w:val="nil"/>
                    <w:left w:val="nil"/>
                    <w:bottom w:val="nil"/>
                    <w:right w:val="nil"/>
                  </w:tcBorders>
                  <w:noWrap/>
                  <w:vAlign w:val="center"/>
                  <w:hideMark/>
                </w:tcPr>
                <w:p w14:paraId="4A3E40E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0.534</w:t>
                  </w:r>
                </w:p>
              </w:tc>
              <w:tc>
                <w:tcPr>
                  <w:tcW w:w="1063" w:type="dxa"/>
                  <w:tcBorders>
                    <w:top w:val="nil"/>
                    <w:left w:val="nil"/>
                    <w:bottom w:val="nil"/>
                    <w:right w:val="nil"/>
                  </w:tcBorders>
                  <w:noWrap/>
                  <w:vAlign w:val="center"/>
                  <w:hideMark/>
                </w:tcPr>
                <w:p w14:paraId="514D9E6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0.538</w:t>
                  </w:r>
                </w:p>
              </w:tc>
            </w:tr>
            <w:tr w:rsidR="00E850E2" w:rsidRPr="008A3160" w14:paraId="5CE6F59C" w14:textId="77777777" w:rsidTr="00217E39">
              <w:trPr>
                <w:trHeight w:val="312"/>
              </w:trPr>
              <w:tc>
                <w:tcPr>
                  <w:tcW w:w="2763" w:type="dxa"/>
                  <w:vMerge w:val="restart"/>
                  <w:tcBorders>
                    <w:top w:val="nil"/>
                    <w:left w:val="nil"/>
                    <w:bottom w:val="nil"/>
                    <w:right w:val="nil"/>
                  </w:tcBorders>
                  <w:noWrap/>
                  <w:vAlign w:val="center"/>
                  <w:hideMark/>
                </w:tcPr>
                <w:p w14:paraId="151639A9"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Tpes</w:t>
                  </w:r>
                  <w:proofErr w:type="spellEnd"/>
                </w:p>
              </w:tc>
              <w:tc>
                <w:tcPr>
                  <w:tcW w:w="708" w:type="dxa"/>
                  <w:tcBorders>
                    <w:top w:val="nil"/>
                    <w:left w:val="nil"/>
                    <w:bottom w:val="nil"/>
                    <w:right w:val="nil"/>
                  </w:tcBorders>
                  <w:noWrap/>
                  <w:vAlign w:val="bottom"/>
                  <w:hideMark/>
                </w:tcPr>
                <w:p w14:paraId="10AEB282"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1171" w:type="dxa"/>
                  <w:tcBorders>
                    <w:top w:val="nil"/>
                    <w:left w:val="nil"/>
                    <w:bottom w:val="nil"/>
                    <w:right w:val="nil"/>
                  </w:tcBorders>
                  <w:noWrap/>
                  <w:vAlign w:val="bottom"/>
                  <w:hideMark/>
                </w:tcPr>
                <w:p w14:paraId="1902DBDA"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1063" w:type="dxa"/>
                  <w:tcBorders>
                    <w:top w:val="nil"/>
                    <w:left w:val="nil"/>
                    <w:bottom w:val="nil"/>
                    <w:right w:val="nil"/>
                  </w:tcBorders>
                  <w:noWrap/>
                  <w:vAlign w:val="center"/>
                  <w:hideMark/>
                </w:tcPr>
                <w:p w14:paraId="1DB8FDA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0.471</w:t>
                  </w:r>
                </w:p>
              </w:tc>
            </w:tr>
            <w:tr w:rsidR="00E850E2" w:rsidRPr="008A3160" w14:paraId="469DDF04" w14:textId="77777777" w:rsidTr="00217E39">
              <w:trPr>
                <w:trHeight w:val="312"/>
              </w:trPr>
              <w:tc>
                <w:tcPr>
                  <w:tcW w:w="2763" w:type="dxa"/>
                  <w:vMerge/>
                  <w:tcBorders>
                    <w:top w:val="nil"/>
                    <w:left w:val="nil"/>
                    <w:bottom w:val="nil"/>
                    <w:right w:val="nil"/>
                  </w:tcBorders>
                  <w:vAlign w:val="center"/>
                  <w:hideMark/>
                </w:tcPr>
                <w:p w14:paraId="23693FA2"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708" w:type="dxa"/>
                  <w:tcBorders>
                    <w:top w:val="nil"/>
                    <w:left w:val="nil"/>
                    <w:bottom w:val="nil"/>
                    <w:right w:val="nil"/>
                  </w:tcBorders>
                  <w:noWrap/>
                  <w:vAlign w:val="bottom"/>
                  <w:hideMark/>
                </w:tcPr>
                <w:p w14:paraId="17BAFB2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1171" w:type="dxa"/>
                  <w:tcBorders>
                    <w:top w:val="nil"/>
                    <w:left w:val="nil"/>
                    <w:bottom w:val="nil"/>
                    <w:right w:val="nil"/>
                  </w:tcBorders>
                  <w:noWrap/>
                  <w:vAlign w:val="bottom"/>
                  <w:hideMark/>
                </w:tcPr>
                <w:p w14:paraId="7B41BDB6"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1063" w:type="dxa"/>
                  <w:tcBorders>
                    <w:top w:val="nil"/>
                    <w:left w:val="nil"/>
                    <w:bottom w:val="nil"/>
                    <w:right w:val="nil"/>
                  </w:tcBorders>
                  <w:noWrap/>
                  <w:vAlign w:val="center"/>
                  <w:hideMark/>
                </w:tcPr>
                <w:p w14:paraId="2417F85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0.379</w:t>
                  </w:r>
                </w:p>
              </w:tc>
            </w:tr>
            <w:tr w:rsidR="00E850E2" w:rsidRPr="008A3160" w14:paraId="4C565CB2" w14:textId="77777777" w:rsidTr="00217E39">
              <w:trPr>
                <w:trHeight w:val="312"/>
              </w:trPr>
              <w:tc>
                <w:tcPr>
                  <w:tcW w:w="2763" w:type="dxa"/>
                  <w:vMerge w:val="restart"/>
                  <w:tcBorders>
                    <w:top w:val="nil"/>
                    <w:left w:val="nil"/>
                    <w:bottom w:val="nil"/>
                    <w:right w:val="nil"/>
                  </w:tcBorders>
                  <w:noWrap/>
                  <w:vAlign w:val="center"/>
                  <w:hideMark/>
                </w:tcPr>
                <w:p w14:paraId="31818102"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Tfert</w:t>
                  </w:r>
                  <w:proofErr w:type="spellEnd"/>
                </w:p>
              </w:tc>
              <w:tc>
                <w:tcPr>
                  <w:tcW w:w="708" w:type="dxa"/>
                  <w:tcBorders>
                    <w:top w:val="nil"/>
                    <w:left w:val="nil"/>
                    <w:bottom w:val="nil"/>
                    <w:right w:val="nil"/>
                  </w:tcBorders>
                  <w:noWrap/>
                  <w:vAlign w:val="bottom"/>
                  <w:hideMark/>
                </w:tcPr>
                <w:p w14:paraId="503EFA6C"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1171" w:type="dxa"/>
                  <w:tcBorders>
                    <w:top w:val="nil"/>
                    <w:left w:val="nil"/>
                    <w:bottom w:val="nil"/>
                    <w:right w:val="nil"/>
                  </w:tcBorders>
                  <w:noWrap/>
                  <w:vAlign w:val="bottom"/>
                  <w:hideMark/>
                </w:tcPr>
                <w:p w14:paraId="1B19F321"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1063" w:type="dxa"/>
                  <w:tcBorders>
                    <w:top w:val="nil"/>
                    <w:left w:val="nil"/>
                    <w:bottom w:val="nil"/>
                    <w:right w:val="nil"/>
                  </w:tcBorders>
                  <w:noWrap/>
                  <w:vAlign w:val="center"/>
                  <w:hideMark/>
                </w:tcPr>
                <w:p w14:paraId="4D90F00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xml:space="preserve"> -0.696*</w:t>
                  </w:r>
                </w:p>
              </w:tc>
            </w:tr>
            <w:tr w:rsidR="00E850E2" w:rsidRPr="008A3160" w14:paraId="40D1D748" w14:textId="77777777" w:rsidTr="00217E39">
              <w:trPr>
                <w:trHeight w:val="312"/>
              </w:trPr>
              <w:tc>
                <w:tcPr>
                  <w:tcW w:w="2763" w:type="dxa"/>
                  <w:vMerge/>
                  <w:tcBorders>
                    <w:top w:val="nil"/>
                    <w:left w:val="nil"/>
                    <w:bottom w:val="nil"/>
                    <w:right w:val="nil"/>
                  </w:tcBorders>
                  <w:vAlign w:val="center"/>
                  <w:hideMark/>
                </w:tcPr>
                <w:p w14:paraId="282EEC10"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708" w:type="dxa"/>
                  <w:tcBorders>
                    <w:top w:val="nil"/>
                    <w:left w:val="nil"/>
                    <w:bottom w:val="nil"/>
                    <w:right w:val="nil"/>
                  </w:tcBorders>
                  <w:noWrap/>
                  <w:vAlign w:val="bottom"/>
                  <w:hideMark/>
                </w:tcPr>
                <w:p w14:paraId="2B22DBA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1171" w:type="dxa"/>
                  <w:tcBorders>
                    <w:top w:val="nil"/>
                    <w:left w:val="nil"/>
                    <w:bottom w:val="nil"/>
                    <w:right w:val="nil"/>
                  </w:tcBorders>
                  <w:noWrap/>
                  <w:vAlign w:val="bottom"/>
                  <w:hideMark/>
                </w:tcPr>
                <w:p w14:paraId="73519E8F"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1063" w:type="dxa"/>
                  <w:tcBorders>
                    <w:top w:val="nil"/>
                    <w:left w:val="nil"/>
                    <w:bottom w:val="nil"/>
                    <w:right w:val="nil"/>
                  </w:tcBorders>
                  <w:noWrap/>
                  <w:vAlign w:val="center"/>
                  <w:hideMark/>
                </w:tcPr>
                <w:p w14:paraId="1D3CCEA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0.432</w:t>
                  </w:r>
                </w:p>
              </w:tc>
            </w:tr>
            <w:tr w:rsidR="00E850E2" w:rsidRPr="008A3160" w14:paraId="267BA4C8" w14:textId="77777777" w:rsidTr="00217E39">
              <w:trPr>
                <w:trHeight w:val="312"/>
              </w:trPr>
              <w:tc>
                <w:tcPr>
                  <w:tcW w:w="2763" w:type="dxa"/>
                  <w:vMerge w:val="restart"/>
                  <w:tcBorders>
                    <w:top w:val="nil"/>
                    <w:left w:val="nil"/>
                    <w:bottom w:val="nil"/>
                    <w:right w:val="nil"/>
                  </w:tcBorders>
                  <w:noWrap/>
                  <w:vAlign w:val="center"/>
                  <w:hideMark/>
                </w:tcPr>
                <w:p w14:paraId="4D3CB87A"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Tagrtrade</w:t>
                  </w:r>
                  <w:proofErr w:type="spellEnd"/>
                </w:p>
              </w:tc>
              <w:tc>
                <w:tcPr>
                  <w:tcW w:w="708" w:type="dxa"/>
                  <w:tcBorders>
                    <w:top w:val="nil"/>
                    <w:left w:val="nil"/>
                    <w:bottom w:val="nil"/>
                    <w:right w:val="nil"/>
                  </w:tcBorders>
                  <w:noWrap/>
                  <w:vAlign w:val="bottom"/>
                  <w:hideMark/>
                </w:tcPr>
                <w:p w14:paraId="2D7DF990"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1171" w:type="dxa"/>
                  <w:tcBorders>
                    <w:top w:val="nil"/>
                    <w:left w:val="nil"/>
                    <w:bottom w:val="nil"/>
                    <w:right w:val="nil"/>
                  </w:tcBorders>
                  <w:noWrap/>
                  <w:vAlign w:val="bottom"/>
                  <w:hideMark/>
                </w:tcPr>
                <w:p w14:paraId="54DBC99A"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1063" w:type="dxa"/>
                  <w:tcBorders>
                    <w:top w:val="nil"/>
                    <w:left w:val="nil"/>
                    <w:bottom w:val="nil"/>
                    <w:right w:val="nil"/>
                  </w:tcBorders>
                  <w:noWrap/>
                  <w:vAlign w:val="center"/>
                  <w:hideMark/>
                </w:tcPr>
                <w:p w14:paraId="0ED1ECF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0.128</w:t>
                  </w:r>
                </w:p>
              </w:tc>
            </w:tr>
            <w:tr w:rsidR="00E850E2" w:rsidRPr="008A3160" w14:paraId="01B181D5" w14:textId="77777777" w:rsidTr="00217E39">
              <w:trPr>
                <w:trHeight w:val="312"/>
              </w:trPr>
              <w:tc>
                <w:tcPr>
                  <w:tcW w:w="2763" w:type="dxa"/>
                  <w:vMerge/>
                  <w:tcBorders>
                    <w:top w:val="nil"/>
                    <w:left w:val="nil"/>
                    <w:bottom w:val="nil"/>
                    <w:right w:val="nil"/>
                  </w:tcBorders>
                  <w:vAlign w:val="center"/>
                  <w:hideMark/>
                </w:tcPr>
                <w:p w14:paraId="706D4E37"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708" w:type="dxa"/>
                  <w:tcBorders>
                    <w:top w:val="nil"/>
                    <w:left w:val="nil"/>
                    <w:bottom w:val="nil"/>
                    <w:right w:val="nil"/>
                  </w:tcBorders>
                  <w:noWrap/>
                  <w:vAlign w:val="bottom"/>
                  <w:hideMark/>
                </w:tcPr>
                <w:p w14:paraId="2C5E91B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1171" w:type="dxa"/>
                  <w:tcBorders>
                    <w:top w:val="nil"/>
                    <w:left w:val="nil"/>
                    <w:bottom w:val="nil"/>
                    <w:right w:val="nil"/>
                  </w:tcBorders>
                  <w:noWrap/>
                  <w:vAlign w:val="bottom"/>
                  <w:hideMark/>
                </w:tcPr>
                <w:p w14:paraId="4308C504"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1063" w:type="dxa"/>
                  <w:tcBorders>
                    <w:top w:val="nil"/>
                    <w:left w:val="nil"/>
                    <w:bottom w:val="nil"/>
                    <w:right w:val="nil"/>
                  </w:tcBorders>
                  <w:noWrap/>
                  <w:vAlign w:val="center"/>
                  <w:hideMark/>
                </w:tcPr>
                <w:p w14:paraId="427AF26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0.276</w:t>
                  </w:r>
                </w:p>
              </w:tc>
            </w:tr>
            <w:tr w:rsidR="00E850E2" w:rsidRPr="008A3160" w14:paraId="725BFB16" w14:textId="77777777" w:rsidTr="00217E39">
              <w:trPr>
                <w:trHeight w:val="312"/>
              </w:trPr>
              <w:tc>
                <w:tcPr>
                  <w:tcW w:w="2763" w:type="dxa"/>
                  <w:vMerge w:val="restart"/>
                  <w:tcBorders>
                    <w:top w:val="nil"/>
                    <w:left w:val="nil"/>
                    <w:bottom w:val="single" w:sz="8" w:space="0" w:color="000000"/>
                    <w:right w:val="nil"/>
                  </w:tcBorders>
                  <w:noWrap/>
                  <w:vAlign w:val="center"/>
                  <w:hideMark/>
                </w:tcPr>
                <w:p w14:paraId="11CE6EE5"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EPIscore</w:t>
                  </w:r>
                  <w:proofErr w:type="spellEnd"/>
                </w:p>
              </w:tc>
              <w:tc>
                <w:tcPr>
                  <w:tcW w:w="708" w:type="dxa"/>
                  <w:tcBorders>
                    <w:top w:val="nil"/>
                    <w:left w:val="nil"/>
                    <w:bottom w:val="nil"/>
                    <w:right w:val="nil"/>
                  </w:tcBorders>
                  <w:noWrap/>
                  <w:vAlign w:val="bottom"/>
                  <w:hideMark/>
                </w:tcPr>
                <w:p w14:paraId="3781089B"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1171" w:type="dxa"/>
                  <w:tcBorders>
                    <w:top w:val="nil"/>
                    <w:left w:val="nil"/>
                    <w:bottom w:val="nil"/>
                    <w:right w:val="nil"/>
                  </w:tcBorders>
                  <w:noWrap/>
                  <w:vAlign w:val="bottom"/>
                  <w:hideMark/>
                </w:tcPr>
                <w:p w14:paraId="6C3402BD"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1063" w:type="dxa"/>
                  <w:tcBorders>
                    <w:top w:val="nil"/>
                    <w:left w:val="nil"/>
                    <w:bottom w:val="nil"/>
                    <w:right w:val="nil"/>
                  </w:tcBorders>
                  <w:noWrap/>
                  <w:vAlign w:val="center"/>
                  <w:hideMark/>
                </w:tcPr>
                <w:p w14:paraId="225A041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0.239</w:t>
                  </w:r>
                </w:p>
              </w:tc>
            </w:tr>
            <w:tr w:rsidR="00E850E2" w:rsidRPr="008A3160" w14:paraId="3B6707C2" w14:textId="77777777" w:rsidTr="00217E39">
              <w:trPr>
                <w:trHeight w:val="324"/>
              </w:trPr>
              <w:tc>
                <w:tcPr>
                  <w:tcW w:w="2763" w:type="dxa"/>
                  <w:vMerge/>
                  <w:tcBorders>
                    <w:top w:val="nil"/>
                    <w:left w:val="nil"/>
                    <w:bottom w:val="single" w:sz="8" w:space="0" w:color="000000"/>
                    <w:right w:val="nil"/>
                  </w:tcBorders>
                  <w:vAlign w:val="center"/>
                  <w:hideMark/>
                </w:tcPr>
                <w:p w14:paraId="4DBC6A2F"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708" w:type="dxa"/>
                  <w:tcBorders>
                    <w:top w:val="nil"/>
                    <w:left w:val="nil"/>
                    <w:bottom w:val="single" w:sz="8" w:space="0" w:color="auto"/>
                    <w:right w:val="nil"/>
                  </w:tcBorders>
                  <w:noWrap/>
                  <w:vAlign w:val="bottom"/>
                  <w:hideMark/>
                </w:tcPr>
                <w:p w14:paraId="50427C31" w14:textId="77777777" w:rsidR="00E850E2" w:rsidRPr="008A3160" w:rsidRDefault="00E850E2" w:rsidP="00217E39">
                  <w:pPr>
                    <w:rPr>
                      <w:rFonts w:ascii="Aptos" w:eastAsia="Times New Roman" w:hAnsi="Aptos" w:cs="Calibri"/>
                      <w:color w:val="000000"/>
                      <w:kern w:val="0"/>
                      <w:lang w:val="it-IT" w:eastAsia="it-IT"/>
                      <w14:ligatures w14:val="none"/>
                    </w:rPr>
                  </w:pPr>
                  <w:r w:rsidRPr="008A3160">
                    <w:rPr>
                      <w:rFonts w:ascii="Aptos" w:eastAsia="Times New Roman" w:hAnsi="Aptos" w:cs="Calibri"/>
                      <w:color w:val="000000"/>
                      <w:kern w:val="0"/>
                      <w:lang w:val="it-IT" w:eastAsia="it-IT"/>
                      <w14:ligatures w14:val="none"/>
                    </w:rPr>
                    <w:t> </w:t>
                  </w:r>
                </w:p>
              </w:tc>
              <w:tc>
                <w:tcPr>
                  <w:tcW w:w="1171" w:type="dxa"/>
                  <w:tcBorders>
                    <w:top w:val="nil"/>
                    <w:left w:val="nil"/>
                    <w:bottom w:val="single" w:sz="8" w:space="0" w:color="auto"/>
                    <w:right w:val="nil"/>
                  </w:tcBorders>
                  <w:noWrap/>
                  <w:vAlign w:val="bottom"/>
                  <w:hideMark/>
                </w:tcPr>
                <w:p w14:paraId="21A34BF4" w14:textId="77777777" w:rsidR="00E850E2" w:rsidRPr="008A3160" w:rsidRDefault="00E850E2" w:rsidP="00217E39">
                  <w:pPr>
                    <w:rPr>
                      <w:rFonts w:ascii="Aptos" w:eastAsia="Times New Roman" w:hAnsi="Aptos" w:cs="Calibri"/>
                      <w:color w:val="000000"/>
                      <w:kern w:val="0"/>
                      <w:lang w:val="it-IT" w:eastAsia="it-IT"/>
                      <w14:ligatures w14:val="none"/>
                    </w:rPr>
                  </w:pPr>
                  <w:r w:rsidRPr="008A3160">
                    <w:rPr>
                      <w:rFonts w:ascii="Aptos" w:eastAsia="Times New Roman" w:hAnsi="Aptos" w:cs="Calibri"/>
                      <w:color w:val="000000"/>
                      <w:kern w:val="0"/>
                      <w:lang w:val="it-IT" w:eastAsia="it-IT"/>
                      <w14:ligatures w14:val="none"/>
                    </w:rPr>
                    <w:t> </w:t>
                  </w:r>
                </w:p>
              </w:tc>
              <w:tc>
                <w:tcPr>
                  <w:tcW w:w="1063" w:type="dxa"/>
                  <w:tcBorders>
                    <w:top w:val="nil"/>
                    <w:left w:val="nil"/>
                    <w:bottom w:val="single" w:sz="8" w:space="0" w:color="auto"/>
                    <w:right w:val="nil"/>
                  </w:tcBorders>
                  <w:noWrap/>
                  <w:vAlign w:val="center"/>
                  <w:hideMark/>
                </w:tcPr>
                <w:p w14:paraId="10A5958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0.178</w:t>
                  </w:r>
                </w:p>
              </w:tc>
            </w:tr>
            <w:tr w:rsidR="00E850E2" w:rsidRPr="008A3160" w14:paraId="130BDC2D" w14:textId="77777777" w:rsidTr="00217E39">
              <w:trPr>
                <w:trHeight w:val="300"/>
              </w:trPr>
              <w:tc>
                <w:tcPr>
                  <w:tcW w:w="2763" w:type="dxa"/>
                  <w:tcBorders>
                    <w:top w:val="nil"/>
                    <w:left w:val="nil"/>
                    <w:bottom w:val="single" w:sz="8" w:space="0" w:color="auto"/>
                    <w:right w:val="nil"/>
                  </w:tcBorders>
                  <w:noWrap/>
                  <w:vAlign w:val="center"/>
                  <w:hideMark/>
                </w:tcPr>
                <w:p w14:paraId="7AA16687"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 xml:space="preserve">F </w:t>
                  </w:r>
                  <w:proofErr w:type="spellStart"/>
                  <w:r w:rsidRPr="008A3160">
                    <w:rPr>
                      <w:rFonts w:ascii="Times New Roman" w:eastAsia="Times New Roman" w:hAnsi="Times New Roman" w:cs="Times New Roman"/>
                      <w:i/>
                      <w:iCs/>
                      <w:color w:val="000000"/>
                      <w:kern w:val="0"/>
                      <w:lang w:val="it-IT" w:eastAsia="it-IT"/>
                      <w14:ligatures w14:val="none"/>
                    </w:rPr>
                    <w:t>statistic</w:t>
                  </w:r>
                  <w:proofErr w:type="spellEnd"/>
                  <w:r w:rsidRPr="008A3160">
                    <w:rPr>
                      <w:rFonts w:ascii="Times New Roman" w:eastAsia="Times New Roman" w:hAnsi="Times New Roman" w:cs="Times New Roman"/>
                      <w:i/>
                      <w:iCs/>
                      <w:color w:val="000000"/>
                      <w:kern w:val="0"/>
                      <w:lang w:val="it-IT" w:eastAsia="it-IT"/>
                      <w14:ligatures w14:val="none"/>
                    </w:rPr>
                    <w:t xml:space="preserve"> (first stage)</w:t>
                  </w:r>
                </w:p>
              </w:tc>
              <w:tc>
                <w:tcPr>
                  <w:tcW w:w="708" w:type="dxa"/>
                  <w:tcBorders>
                    <w:top w:val="nil"/>
                    <w:left w:val="nil"/>
                    <w:bottom w:val="single" w:sz="8" w:space="0" w:color="auto"/>
                    <w:right w:val="nil"/>
                  </w:tcBorders>
                  <w:noWrap/>
                  <w:vAlign w:val="center"/>
                  <w:hideMark/>
                </w:tcPr>
                <w:p w14:paraId="1CE74D1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1769.84***</w:t>
                  </w:r>
                </w:p>
              </w:tc>
              <w:tc>
                <w:tcPr>
                  <w:tcW w:w="1171" w:type="dxa"/>
                  <w:tcBorders>
                    <w:top w:val="nil"/>
                    <w:left w:val="nil"/>
                    <w:bottom w:val="single" w:sz="8" w:space="0" w:color="auto"/>
                    <w:right w:val="nil"/>
                  </w:tcBorders>
                  <w:noWrap/>
                  <w:vAlign w:val="center"/>
                  <w:hideMark/>
                </w:tcPr>
                <w:p w14:paraId="708460F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1180,00***</w:t>
                  </w:r>
                </w:p>
              </w:tc>
              <w:tc>
                <w:tcPr>
                  <w:tcW w:w="1063" w:type="dxa"/>
                  <w:tcBorders>
                    <w:top w:val="nil"/>
                    <w:left w:val="nil"/>
                    <w:bottom w:val="single" w:sz="8" w:space="0" w:color="auto"/>
                    <w:right w:val="nil"/>
                  </w:tcBorders>
                  <w:noWrap/>
                  <w:vAlign w:val="center"/>
                  <w:hideMark/>
                </w:tcPr>
                <w:p w14:paraId="2188AAC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521.11***</w:t>
                  </w:r>
                </w:p>
              </w:tc>
            </w:tr>
            <w:tr w:rsidR="00E850E2" w:rsidRPr="008A3160" w14:paraId="33B5C4BC" w14:textId="77777777" w:rsidTr="00217E39">
              <w:trPr>
                <w:trHeight w:val="300"/>
              </w:trPr>
              <w:tc>
                <w:tcPr>
                  <w:tcW w:w="2763" w:type="dxa"/>
                  <w:tcBorders>
                    <w:top w:val="nil"/>
                    <w:left w:val="nil"/>
                    <w:bottom w:val="single" w:sz="8" w:space="0" w:color="auto"/>
                    <w:right w:val="nil"/>
                  </w:tcBorders>
                  <w:noWrap/>
                  <w:vAlign w:val="center"/>
                  <w:hideMark/>
                </w:tcPr>
                <w:p w14:paraId="490A5BF3"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Sargan</w:t>
                  </w:r>
                  <w:proofErr w:type="spellEnd"/>
                  <w:r w:rsidRPr="008A3160">
                    <w:rPr>
                      <w:rFonts w:ascii="Times New Roman" w:eastAsia="Times New Roman" w:hAnsi="Times New Roman" w:cs="Times New Roman"/>
                      <w:i/>
                      <w:iCs/>
                      <w:color w:val="000000"/>
                      <w:kern w:val="0"/>
                      <w:lang w:val="it-IT" w:eastAsia="it-IT"/>
                      <w14:ligatures w14:val="none"/>
                    </w:rPr>
                    <w:t xml:space="preserve"> test</w:t>
                  </w:r>
                </w:p>
              </w:tc>
              <w:tc>
                <w:tcPr>
                  <w:tcW w:w="708" w:type="dxa"/>
                  <w:tcBorders>
                    <w:top w:val="nil"/>
                    <w:left w:val="nil"/>
                    <w:bottom w:val="single" w:sz="8" w:space="0" w:color="auto"/>
                    <w:right w:val="nil"/>
                  </w:tcBorders>
                  <w:noWrap/>
                  <w:vAlign w:val="center"/>
                  <w:hideMark/>
                </w:tcPr>
                <w:p w14:paraId="2D765C8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129.311</w:t>
                  </w:r>
                </w:p>
              </w:tc>
              <w:tc>
                <w:tcPr>
                  <w:tcW w:w="1171" w:type="dxa"/>
                  <w:tcBorders>
                    <w:top w:val="nil"/>
                    <w:left w:val="nil"/>
                    <w:bottom w:val="single" w:sz="8" w:space="0" w:color="auto"/>
                    <w:right w:val="nil"/>
                  </w:tcBorders>
                  <w:noWrap/>
                  <w:vAlign w:val="center"/>
                  <w:hideMark/>
                </w:tcPr>
                <w:p w14:paraId="30C9A74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131.578</w:t>
                  </w:r>
                </w:p>
              </w:tc>
              <w:tc>
                <w:tcPr>
                  <w:tcW w:w="1063" w:type="dxa"/>
                  <w:tcBorders>
                    <w:top w:val="nil"/>
                    <w:left w:val="nil"/>
                    <w:bottom w:val="single" w:sz="8" w:space="0" w:color="auto"/>
                    <w:right w:val="nil"/>
                  </w:tcBorders>
                  <w:noWrap/>
                  <w:vAlign w:val="center"/>
                  <w:hideMark/>
                </w:tcPr>
                <w:p w14:paraId="432313A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127.631</w:t>
                  </w:r>
                </w:p>
              </w:tc>
            </w:tr>
            <w:tr w:rsidR="00E850E2" w:rsidRPr="008A3160" w14:paraId="60BD74D1" w14:textId="77777777" w:rsidTr="00217E39">
              <w:trPr>
                <w:trHeight w:val="300"/>
              </w:trPr>
              <w:tc>
                <w:tcPr>
                  <w:tcW w:w="2763" w:type="dxa"/>
                  <w:tcBorders>
                    <w:top w:val="nil"/>
                    <w:left w:val="nil"/>
                    <w:bottom w:val="single" w:sz="8" w:space="0" w:color="auto"/>
                    <w:right w:val="nil"/>
                  </w:tcBorders>
                  <w:noWrap/>
                  <w:vAlign w:val="center"/>
                  <w:hideMark/>
                </w:tcPr>
                <w:p w14:paraId="5F493CAF"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Autocorrelation</w:t>
                  </w:r>
                  <w:proofErr w:type="spellEnd"/>
                  <w:r w:rsidRPr="008A3160">
                    <w:rPr>
                      <w:rFonts w:ascii="Times New Roman" w:eastAsia="Times New Roman" w:hAnsi="Times New Roman" w:cs="Times New Roman"/>
                      <w:i/>
                      <w:iCs/>
                      <w:color w:val="000000"/>
                      <w:kern w:val="0"/>
                      <w:lang w:val="it-IT" w:eastAsia="it-IT"/>
                      <w14:ligatures w14:val="none"/>
                    </w:rPr>
                    <w:t xml:space="preserve"> test (1)</w:t>
                  </w:r>
                </w:p>
              </w:tc>
              <w:tc>
                <w:tcPr>
                  <w:tcW w:w="708" w:type="dxa"/>
                  <w:tcBorders>
                    <w:top w:val="nil"/>
                    <w:left w:val="nil"/>
                    <w:bottom w:val="single" w:sz="8" w:space="0" w:color="auto"/>
                    <w:right w:val="nil"/>
                  </w:tcBorders>
                  <w:noWrap/>
                  <w:vAlign w:val="center"/>
                  <w:hideMark/>
                </w:tcPr>
                <w:p w14:paraId="17A9DDF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-3.188***</w:t>
                  </w:r>
                </w:p>
              </w:tc>
              <w:tc>
                <w:tcPr>
                  <w:tcW w:w="1171" w:type="dxa"/>
                  <w:tcBorders>
                    <w:top w:val="nil"/>
                    <w:left w:val="nil"/>
                    <w:bottom w:val="single" w:sz="8" w:space="0" w:color="auto"/>
                    <w:right w:val="nil"/>
                  </w:tcBorders>
                  <w:noWrap/>
                  <w:vAlign w:val="center"/>
                  <w:hideMark/>
                </w:tcPr>
                <w:p w14:paraId="6AB619A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-3.186***</w:t>
                  </w:r>
                </w:p>
              </w:tc>
              <w:tc>
                <w:tcPr>
                  <w:tcW w:w="1063" w:type="dxa"/>
                  <w:tcBorders>
                    <w:top w:val="nil"/>
                    <w:left w:val="nil"/>
                    <w:bottom w:val="single" w:sz="8" w:space="0" w:color="auto"/>
                    <w:right w:val="nil"/>
                  </w:tcBorders>
                  <w:noWrap/>
                  <w:vAlign w:val="center"/>
                  <w:hideMark/>
                </w:tcPr>
                <w:p w14:paraId="67025D2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-3.169***</w:t>
                  </w:r>
                </w:p>
              </w:tc>
            </w:tr>
            <w:tr w:rsidR="00E850E2" w:rsidRPr="008A3160" w14:paraId="5756A7EE" w14:textId="77777777" w:rsidTr="00217E39">
              <w:trPr>
                <w:trHeight w:val="300"/>
              </w:trPr>
              <w:tc>
                <w:tcPr>
                  <w:tcW w:w="2763" w:type="dxa"/>
                  <w:tcBorders>
                    <w:top w:val="nil"/>
                    <w:left w:val="nil"/>
                    <w:bottom w:val="single" w:sz="8" w:space="0" w:color="auto"/>
                    <w:right w:val="nil"/>
                  </w:tcBorders>
                  <w:noWrap/>
                  <w:vAlign w:val="center"/>
                  <w:hideMark/>
                </w:tcPr>
                <w:p w14:paraId="5F375E39"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Autocorrelation</w:t>
                  </w:r>
                  <w:proofErr w:type="spellEnd"/>
                  <w:r w:rsidRPr="008A3160">
                    <w:rPr>
                      <w:rFonts w:ascii="Times New Roman" w:eastAsia="Times New Roman" w:hAnsi="Times New Roman" w:cs="Times New Roman"/>
                      <w:i/>
                      <w:iCs/>
                      <w:color w:val="000000"/>
                      <w:kern w:val="0"/>
                      <w:lang w:val="it-IT" w:eastAsia="it-IT"/>
                      <w14:ligatures w14:val="none"/>
                    </w:rPr>
                    <w:t xml:space="preserve"> test (2)</w:t>
                  </w:r>
                </w:p>
              </w:tc>
              <w:tc>
                <w:tcPr>
                  <w:tcW w:w="708" w:type="dxa"/>
                  <w:tcBorders>
                    <w:top w:val="nil"/>
                    <w:left w:val="nil"/>
                    <w:bottom w:val="single" w:sz="8" w:space="0" w:color="auto"/>
                    <w:right w:val="nil"/>
                  </w:tcBorders>
                  <w:noWrap/>
                  <w:vAlign w:val="center"/>
                  <w:hideMark/>
                </w:tcPr>
                <w:p w14:paraId="6A26AAE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1.412</w:t>
                  </w:r>
                </w:p>
              </w:tc>
              <w:tc>
                <w:tcPr>
                  <w:tcW w:w="1171" w:type="dxa"/>
                  <w:tcBorders>
                    <w:top w:val="nil"/>
                    <w:left w:val="nil"/>
                    <w:bottom w:val="single" w:sz="8" w:space="0" w:color="auto"/>
                    <w:right w:val="nil"/>
                  </w:tcBorders>
                  <w:noWrap/>
                  <w:vAlign w:val="center"/>
                  <w:hideMark/>
                </w:tcPr>
                <w:p w14:paraId="6877B6A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1.408</w:t>
                  </w:r>
                </w:p>
              </w:tc>
              <w:tc>
                <w:tcPr>
                  <w:tcW w:w="1063" w:type="dxa"/>
                  <w:tcBorders>
                    <w:top w:val="nil"/>
                    <w:left w:val="nil"/>
                    <w:bottom w:val="single" w:sz="8" w:space="0" w:color="auto"/>
                    <w:right w:val="nil"/>
                  </w:tcBorders>
                  <w:noWrap/>
                  <w:vAlign w:val="center"/>
                  <w:hideMark/>
                </w:tcPr>
                <w:p w14:paraId="53A7619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1.389</w:t>
                  </w:r>
                </w:p>
              </w:tc>
            </w:tr>
            <w:tr w:rsidR="00E850E2" w:rsidRPr="008A3160" w14:paraId="709DCF21" w14:textId="77777777" w:rsidTr="00217E39">
              <w:trPr>
                <w:trHeight w:val="300"/>
              </w:trPr>
              <w:tc>
                <w:tcPr>
                  <w:tcW w:w="2763" w:type="dxa"/>
                  <w:tcBorders>
                    <w:top w:val="nil"/>
                    <w:left w:val="nil"/>
                    <w:bottom w:val="single" w:sz="8" w:space="0" w:color="auto"/>
                    <w:right w:val="nil"/>
                  </w:tcBorders>
                  <w:noWrap/>
                  <w:vAlign w:val="center"/>
                  <w:hideMark/>
                </w:tcPr>
                <w:p w14:paraId="32752E67"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Pesaran</w:t>
                  </w:r>
                  <w:proofErr w:type="spellEnd"/>
                  <w:r w:rsidRPr="008A3160">
                    <w:rPr>
                      <w:rFonts w:ascii="Times New Roman" w:eastAsia="Times New Roman" w:hAnsi="Times New Roman" w:cs="Times New Roman"/>
                      <w:i/>
                      <w:iCs/>
                      <w:color w:val="000000"/>
                      <w:kern w:val="0"/>
                      <w:lang w:val="it-IT" w:eastAsia="it-IT"/>
                      <w14:ligatures w14:val="none"/>
                    </w:rPr>
                    <w:t xml:space="preserve"> CD test</w:t>
                  </w:r>
                </w:p>
              </w:tc>
              <w:tc>
                <w:tcPr>
                  <w:tcW w:w="708" w:type="dxa"/>
                  <w:tcBorders>
                    <w:top w:val="nil"/>
                    <w:left w:val="nil"/>
                    <w:bottom w:val="single" w:sz="8" w:space="0" w:color="auto"/>
                    <w:right w:val="nil"/>
                  </w:tcBorders>
                  <w:noWrap/>
                  <w:vAlign w:val="center"/>
                  <w:hideMark/>
                </w:tcPr>
                <w:p w14:paraId="5481F03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50.711***</w:t>
                  </w:r>
                </w:p>
              </w:tc>
              <w:tc>
                <w:tcPr>
                  <w:tcW w:w="1171" w:type="dxa"/>
                  <w:tcBorders>
                    <w:top w:val="nil"/>
                    <w:left w:val="nil"/>
                    <w:bottom w:val="single" w:sz="8" w:space="0" w:color="auto"/>
                    <w:right w:val="nil"/>
                  </w:tcBorders>
                  <w:noWrap/>
                  <w:vAlign w:val="center"/>
                  <w:hideMark/>
                </w:tcPr>
                <w:p w14:paraId="17E892A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51.798***</w:t>
                  </w:r>
                </w:p>
              </w:tc>
              <w:tc>
                <w:tcPr>
                  <w:tcW w:w="1063" w:type="dxa"/>
                  <w:tcBorders>
                    <w:top w:val="nil"/>
                    <w:left w:val="nil"/>
                    <w:bottom w:val="single" w:sz="8" w:space="0" w:color="auto"/>
                    <w:right w:val="nil"/>
                  </w:tcBorders>
                  <w:noWrap/>
                  <w:vAlign w:val="center"/>
                  <w:hideMark/>
                </w:tcPr>
                <w:p w14:paraId="504E8DA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46.149***</w:t>
                  </w:r>
                </w:p>
              </w:tc>
            </w:tr>
            <w:tr w:rsidR="00E850E2" w:rsidRPr="008A3160" w14:paraId="4C76D954" w14:textId="77777777" w:rsidTr="00217E39">
              <w:trPr>
                <w:trHeight w:val="300"/>
              </w:trPr>
              <w:tc>
                <w:tcPr>
                  <w:tcW w:w="2763" w:type="dxa"/>
                  <w:tcBorders>
                    <w:top w:val="nil"/>
                    <w:left w:val="nil"/>
                    <w:bottom w:val="single" w:sz="8" w:space="0" w:color="auto"/>
                    <w:right w:val="nil"/>
                  </w:tcBorders>
                  <w:noWrap/>
                  <w:vAlign w:val="center"/>
                  <w:hideMark/>
                </w:tcPr>
                <w:p w14:paraId="71202869"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N</w:t>
                  </w:r>
                </w:p>
              </w:tc>
              <w:tc>
                <w:tcPr>
                  <w:tcW w:w="708" w:type="dxa"/>
                  <w:tcBorders>
                    <w:top w:val="nil"/>
                    <w:left w:val="nil"/>
                    <w:bottom w:val="single" w:sz="8" w:space="0" w:color="auto"/>
                    <w:right w:val="nil"/>
                  </w:tcBorders>
                  <w:noWrap/>
                  <w:vAlign w:val="center"/>
                  <w:hideMark/>
                </w:tcPr>
                <w:p w14:paraId="79BB34E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2,982</w:t>
                  </w:r>
                </w:p>
              </w:tc>
              <w:tc>
                <w:tcPr>
                  <w:tcW w:w="1171" w:type="dxa"/>
                  <w:tcBorders>
                    <w:top w:val="nil"/>
                    <w:left w:val="nil"/>
                    <w:bottom w:val="single" w:sz="8" w:space="0" w:color="auto"/>
                    <w:right w:val="nil"/>
                  </w:tcBorders>
                  <w:noWrap/>
                  <w:vAlign w:val="center"/>
                  <w:hideMark/>
                </w:tcPr>
                <w:p w14:paraId="1DE9B6B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2,982</w:t>
                  </w:r>
                </w:p>
              </w:tc>
              <w:tc>
                <w:tcPr>
                  <w:tcW w:w="1063" w:type="dxa"/>
                  <w:tcBorders>
                    <w:top w:val="nil"/>
                    <w:left w:val="nil"/>
                    <w:bottom w:val="single" w:sz="8" w:space="0" w:color="auto"/>
                    <w:right w:val="nil"/>
                  </w:tcBorders>
                  <w:noWrap/>
                  <w:vAlign w:val="center"/>
                  <w:hideMark/>
                </w:tcPr>
                <w:p w14:paraId="2A13963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2,982</w:t>
                  </w:r>
                </w:p>
              </w:tc>
            </w:tr>
            <w:tr w:rsidR="00E850E2" w:rsidRPr="008A3160" w14:paraId="33D33AFE" w14:textId="77777777" w:rsidTr="00217E39">
              <w:trPr>
                <w:trHeight w:val="300"/>
              </w:trPr>
              <w:tc>
                <w:tcPr>
                  <w:tcW w:w="2763" w:type="dxa"/>
                  <w:tcBorders>
                    <w:top w:val="nil"/>
                    <w:left w:val="nil"/>
                    <w:bottom w:val="single" w:sz="8" w:space="0" w:color="auto"/>
                    <w:right w:val="nil"/>
                  </w:tcBorders>
                  <w:noWrap/>
                  <w:vAlign w:val="center"/>
                  <w:hideMark/>
                </w:tcPr>
                <w:p w14:paraId="067C5671"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Instrumental</w:t>
                  </w:r>
                  <w:proofErr w:type="spellEnd"/>
                  <w:r w:rsidRPr="008A3160">
                    <w:rPr>
                      <w:rFonts w:ascii="Times New Roman" w:eastAsia="Times New Roman" w:hAnsi="Times New Roman" w:cs="Times New Roman"/>
                      <w:i/>
                      <w:iCs/>
                      <w:color w:val="000000"/>
                      <w:kern w:val="0"/>
                      <w:lang w:val="it-IT" w:eastAsia="it-IT"/>
                      <w14:ligatures w14:val="none"/>
                    </w:rPr>
                    <w:t xml:space="preserve"> lags</w:t>
                  </w:r>
                </w:p>
              </w:tc>
              <w:tc>
                <w:tcPr>
                  <w:tcW w:w="708" w:type="dxa"/>
                  <w:tcBorders>
                    <w:top w:val="nil"/>
                    <w:left w:val="nil"/>
                    <w:bottom w:val="single" w:sz="8" w:space="0" w:color="auto"/>
                    <w:right w:val="nil"/>
                  </w:tcBorders>
                  <w:noWrap/>
                  <w:vAlign w:val="center"/>
                  <w:hideMark/>
                </w:tcPr>
                <w:p w14:paraId="6B0CE83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w:t>
                  </w:r>
                </w:p>
              </w:tc>
              <w:tc>
                <w:tcPr>
                  <w:tcW w:w="1171" w:type="dxa"/>
                  <w:tcBorders>
                    <w:top w:val="nil"/>
                    <w:left w:val="nil"/>
                    <w:bottom w:val="single" w:sz="8" w:space="0" w:color="auto"/>
                    <w:right w:val="nil"/>
                  </w:tcBorders>
                  <w:noWrap/>
                  <w:vAlign w:val="center"/>
                  <w:hideMark/>
                </w:tcPr>
                <w:p w14:paraId="69367F6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w:t>
                  </w:r>
                </w:p>
              </w:tc>
              <w:tc>
                <w:tcPr>
                  <w:tcW w:w="1063" w:type="dxa"/>
                  <w:tcBorders>
                    <w:top w:val="nil"/>
                    <w:left w:val="nil"/>
                    <w:bottom w:val="single" w:sz="8" w:space="0" w:color="auto"/>
                    <w:right w:val="nil"/>
                  </w:tcBorders>
                  <w:noWrap/>
                  <w:vAlign w:val="center"/>
                  <w:hideMark/>
                </w:tcPr>
                <w:p w14:paraId="6AC21CA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w:t>
                  </w:r>
                </w:p>
              </w:tc>
            </w:tr>
          </w:tbl>
          <w:p w14:paraId="498AFECF" w14:textId="77777777" w:rsidR="00E850E2" w:rsidRPr="008A3160" w:rsidRDefault="00E850E2" w:rsidP="00217E39">
            <w:pPr>
              <w:autoSpaceDE w:val="0"/>
              <w:autoSpaceDN w:val="0"/>
              <w:adjustRightInd w:val="0"/>
              <w:rPr>
                <w:rFonts w:ascii="Times New Roman" w:hAnsi="Times New Roman" w:cs="Times New Roman"/>
                <w:color w:val="000000"/>
                <w:kern w:val="0"/>
                <w:lang w:val="it-IT"/>
                <w14:ligatures w14:val="none"/>
              </w:rPr>
            </w:pPr>
          </w:p>
        </w:tc>
      </w:tr>
    </w:tbl>
    <w:p w14:paraId="5C9FCCB5" w14:textId="77777777" w:rsidR="00E850E2" w:rsidRPr="00F325F3" w:rsidRDefault="00E850E2" w:rsidP="00E850E2">
      <w:pPr>
        <w:rPr>
          <w:rFonts w:ascii="Times New Roman" w:hAnsi="Times New Roman" w:cs="Times New Roman"/>
          <w:b/>
          <w:bCs/>
          <w:kern w:val="0"/>
          <w:sz w:val="22"/>
          <w:szCs w:val="22"/>
          <w:lang w:val="en-GB"/>
        </w:rPr>
      </w:pPr>
      <w:r w:rsidRPr="00891442">
        <w:rPr>
          <w:rFonts w:ascii="Times New Roman" w:hAnsi="Times New Roman" w:cs="Times New Roman"/>
          <w:i/>
          <w:iCs/>
          <w:color w:val="000000"/>
          <w:kern w:val="0"/>
          <w:sz w:val="18"/>
          <w:szCs w:val="18"/>
          <w14:ligatures w14:val="none"/>
        </w:rPr>
        <w:t xml:space="preserve">Dependent variable: </w:t>
      </w:r>
      <w:proofErr w:type="spellStart"/>
      <w:r w:rsidRPr="00891442">
        <w:rPr>
          <w:rFonts w:ascii="Times New Roman" w:hAnsi="Times New Roman" w:cs="Times New Roman"/>
          <w:i/>
          <w:iCs/>
          <w:color w:val="000000"/>
          <w:kern w:val="0"/>
          <w:sz w:val="18"/>
          <w:szCs w:val="18"/>
          <w14:ligatures w14:val="none"/>
        </w:rPr>
        <w:t>envTBT</w:t>
      </w:r>
      <w:proofErr w:type="spellEnd"/>
      <w:r w:rsidRPr="00891442">
        <w:rPr>
          <w:rFonts w:ascii="Times New Roman" w:hAnsi="Times New Roman" w:cs="Times New Roman"/>
          <w:i/>
          <w:iCs/>
          <w:color w:val="000000"/>
          <w:kern w:val="0"/>
          <w:sz w:val="18"/>
          <w:szCs w:val="18"/>
          <w14:ligatures w14:val="none"/>
        </w:rPr>
        <w:t>. Variable definitions as in Table 1. envTBT</w:t>
      </w:r>
      <w:r w:rsidRPr="00891442">
        <w:rPr>
          <w:rFonts w:ascii="Times New Roman" w:hAnsi="Times New Roman" w:cs="Times New Roman"/>
          <w:i/>
          <w:iCs/>
          <w:color w:val="000000"/>
          <w:kern w:val="0"/>
          <w:sz w:val="18"/>
          <w:szCs w:val="18"/>
          <w:vertAlign w:val="subscript"/>
          <w14:ligatures w14:val="none"/>
        </w:rPr>
        <w:t>t−1:</w:t>
      </w:r>
      <w:r w:rsidRPr="00891442">
        <w:rPr>
          <w:rFonts w:ascii="Times New Roman" w:hAnsi="Times New Roman" w:cs="Times New Roman"/>
          <w:i/>
          <w:iCs/>
          <w:color w:val="000000"/>
          <w:kern w:val="0"/>
          <w:sz w:val="18"/>
          <w:szCs w:val="18"/>
          <w14:ligatures w14:val="none"/>
        </w:rPr>
        <w:t xml:space="preserve"> one-period lag of the dependent variable. All specifications estimated by two-step difference GMM (Arellano–Bond). envTBT</w:t>
      </w:r>
      <w:r w:rsidRPr="00891442">
        <w:rPr>
          <w:rFonts w:ascii="Times New Roman" w:hAnsi="Times New Roman" w:cs="Times New Roman"/>
          <w:i/>
          <w:iCs/>
          <w:color w:val="000000"/>
          <w:kern w:val="0"/>
          <w:sz w:val="18"/>
          <w:szCs w:val="18"/>
          <w:vertAlign w:val="subscript"/>
          <w14:ligatures w14:val="none"/>
        </w:rPr>
        <w:t xml:space="preserve">t−1 </w:t>
      </w:r>
      <w:r w:rsidRPr="00891442">
        <w:rPr>
          <w:rFonts w:ascii="Times New Roman" w:hAnsi="Times New Roman" w:cs="Times New Roman"/>
          <w:i/>
          <w:iCs/>
          <w:color w:val="000000"/>
          <w:kern w:val="0"/>
          <w:sz w:val="18"/>
          <w:szCs w:val="18"/>
          <w14:ligatures w14:val="none"/>
        </w:rPr>
        <w:t xml:space="preserve">instrumented with its second and deeper lags; </w:t>
      </w:r>
      <w:proofErr w:type="spellStart"/>
      <w:r w:rsidRPr="00891442">
        <w:rPr>
          <w:rFonts w:ascii="Times New Roman" w:hAnsi="Times New Roman" w:cs="Times New Roman"/>
          <w:i/>
          <w:iCs/>
          <w:color w:val="000000"/>
          <w:kern w:val="0"/>
          <w:sz w:val="18"/>
          <w:szCs w:val="18"/>
          <w14:ligatures w14:val="none"/>
        </w:rPr>
        <w:t>envRTA</w:t>
      </w:r>
      <w:proofErr w:type="spellEnd"/>
      <w:r w:rsidRPr="00891442">
        <w:rPr>
          <w:rFonts w:ascii="Times New Roman" w:hAnsi="Times New Roman" w:cs="Times New Roman"/>
          <w:i/>
          <w:iCs/>
          <w:color w:val="000000"/>
          <w:kern w:val="0"/>
          <w:sz w:val="18"/>
          <w:szCs w:val="18"/>
          <w14:ligatures w14:val="none"/>
        </w:rPr>
        <w:t xml:space="preserve"> and RTA </w:t>
      </w:r>
      <w:proofErr w:type="spellStart"/>
      <w:r w:rsidRPr="00891442">
        <w:rPr>
          <w:rFonts w:ascii="Times New Roman" w:hAnsi="Times New Roman" w:cs="Times New Roman"/>
          <w:i/>
          <w:iCs/>
          <w:color w:val="000000"/>
          <w:kern w:val="0"/>
          <w:sz w:val="18"/>
          <w:szCs w:val="18"/>
          <w14:ligatures w14:val="none"/>
        </w:rPr>
        <w:t>Fert&amp;Pest</w:t>
      </w:r>
      <w:proofErr w:type="spellEnd"/>
      <w:r w:rsidRPr="00891442">
        <w:rPr>
          <w:rFonts w:ascii="Times New Roman" w:hAnsi="Times New Roman" w:cs="Times New Roman"/>
          <w:i/>
          <w:iCs/>
          <w:color w:val="000000"/>
          <w:kern w:val="0"/>
          <w:sz w:val="18"/>
          <w:szCs w:val="18"/>
          <w14:ligatures w14:val="none"/>
        </w:rPr>
        <w:t xml:space="preserve"> instrumented with their first and second lags. </w:t>
      </w:r>
      <w:r>
        <w:rPr>
          <w:rFonts w:ascii="Times New Roman" w:hAnsi="Times New Roman" w:cs="Times New Roman"/>
          <w:i/>
          <w:iCs/>
          <w:color w:val="000000"/>
          <w:kern w:val="0"/>
          <w:sz w:val="18"/>
          <w:szCs w:val="18"/>
          <w14:ligatures w14:val="none"/>
        </w:rPr>
        <w:t>R</w:t>
      </w:r>
      <w:r w:rsidRPr="00891442">
        <w:rPr>
          <w:rFonts w:ascii="Times New Roman" w:hAnsi="Times New Roman" w:cs="Times New Roman"/>
          <w:i/>
          <w:iCs/>
          <w:color w:val="000000"/>
          <w:kern w:val="0"/>
          <w:sz w:val="18"/>
          <w:szCs w:val="18"/>
          <w14:ligatures w14:val="none"/>
        </w:rPr>
        <w:t xml:space="preserve">obust standard errors in parentheses. </w:t>
      </w:r>
      <w:proofErr w:type="spellStart"/>
      <w:r w:rsidRPr="00891442">
        <w:rPr>
          <w:rFonts w:ascii="Times New Roman" w:hAnsi="Times New Roman" w:cs="Times New Roman"/>
          <w:i/>
          <w:iCs/>
          <w:color w:val="000000"/>
          <w:kern w:val="0"/>
          <w:sz w:val="18"/>
          <w:szCs w:val="18"/>
          <w14:ligatures w14:val="none"/>
        </w:rPr>
        <w:t>Sargan</w:t>
      </w:r>
      <w:proofErr w:type="spellEnd"/>
      <w:r w:rsidRPr="00891442">
        <w:rPr>
          <w:rFonts w:ascii="Times New Roman" w:hAnsi="Times New Roman" w:cs="Times New Roman"/>
          <w:i/>
          <w:iCs/>
          <w:color w:val="000000"/>
          <w:kern w:val="0"/>
          <w:sz w:val="18"/>
          <w:szCs w:val="18"/>
          <w14:ligatures w14:val="none"/>
        </w:rPr>
        <w:t>: Hansen–</w:t>
      </w:r>
      <w:proofErr w:type="spellStart"/>
      <w:r w:rsidRPr="00891442">
        <w:rPr>
          <w:rFonts w:ascii="Times New Roman" w:hAnsi="Times New Roman" w:cs="Times New Roman"/>
          <w:i/>
          <w:iCs/>
          <w:color w:val="000000"/>
          <w:kern w:val="0"/>
          <w:sz w:val="18"/>
          <w:szCs w:val="18"/>
          <w14:ligatures w14:val="none"/>
        </w:rPr>
        <w:t>Sargan</w:t>
      </w:r>
      <w:proofErr w:type="spellEnd"/>
      <w:r w:rsidRPr="00891442">
        <w:rPr>
          <w:rFonts w:ascii="Times New Roman" w:hAnsi="Times New Roman" w:cs="Times New Roman"/>
          <w:i/>
          <w:iCs/>
          <w:color w:val="000000"/>
          <w:kern w:val="0"/>
          <w:sz w:val="18"/>
          <w:szCs w:val="18"/>
          <w14:ligatures w14:val="none"/>
        </w:rPr>
        <w:t xml:space="preserve"> overidentification test. </w:t>
      </w:r>
      <w:proofErr w:type="gramStart"/>
      <w:r w:rsidRPr="00891442">
        <w:rPr>
          <w:rFonts w:ascii="Times New Roman" w:hAnsi="Times New Roman" w:cs="Times New Roman"/>
          <w:i/>
          <w:iCs/>
          <w:color w:val="000000"/>
          <w:kern w:val="0"/>
          <w:sz w:val="18"/>
          <w:szCs w:val="18"/>
          <w14:ligatures w14:val="none"/>
        </w:rPr>
        <w:t>AR(</w:t>
      </w:r>
      <w:proofErr w:type="gramEnd"/>
      <w:r w:rsidRPr="00891442">
        <w:rPr>
          <w:rFonts w:ascii="Times New Roman" w:hAnsi="Times New Roman" w:cs="Times New Roman"/>
          <w:i/>
          <w:iCs/>
          <w:color w:val="000000"/>
          <w:kern w:val="0"/>
          <w:sz w:val="18"/>
          <w:szCs w:val="18"/>
          <w14:ligatures w14:val="none"/>
        </w:rPr>
        <w:t xml:space="preserve">1) and </w:t>
      </w:r>
      <w:proofErr w:type="gramStart"/>
      <w:r w:rsidRPr="00891442">
        <w:rPr>
          <w:rFonts w:ascii="Times New Roman" w:hAnsi="Times New Roman" w:cs="Times New Roman"/>
          <w:i/>
          <w:iCs/>
          <w:color w:val="000000"/>
          <w:kern w:val="0"/>
          <w:sz w:val="18"/>
          <w:szCs w:val="18"/>
          <w14:ligatures w14:val="none"/>
        </w:rPr>
        <w:t>AR(</w:t>
      </w:r>
      <w:proofErr w:type="gramEnd"/>
      <w:r w:rsidRPr="00891442">
        <w:rPr>
          <w:rFonts w:ascii="Times New Roman" w:hAnsi="Times New Roman" w:cs="Times New Roman"/>
          <w:i/>
          <w:iCs/>
          <w:color w:val="000000"/>
          <w:kern w:val="0"/>
          <w:sz w:val="18"/>
          <w:szCs w:val="18"/>
          <w14:ligatures w14:val="none"/>
        </w:rPr>
        <w:t xml:space="preserve">2): Arellano–Bond tests for first- and second-order serial correlation in the differenced residuals. </w:t>
      </w:r>
      <w:proofErr w:type="spellStart"/>
      <w:r w:rsidRPr="00891442">
        <w:rPr>
          <w:rFonts w:ascii="Times New Roman" w:hAnsi="Times New Roman" w:cs="Times New Roman"/>
          <w:i/>
          <w:iCs/>
          <w:color w:val="000000"/>
          <w:kern w:val="0"/>
          <w:sz w:val="18"/>
          <w:szCs w:val="18"/>
          <w14:ligatures w14:val="none"/>
        </w:rPr>
        <w:t>Pesaran</w:t>
      </w:r>
      <w:proofErr w:type="spellEnd"/>
      <w:r w:rsidRPr="00891442">
        <w:rPr>
          <w:rFonts w:ascii="Times New Roman" w:hAnsi="Times New Roman" w:cs="Times New Roman"/>
          <w:i/>
          <w:iCs/>
          <w:color w:val="000000"/>
          <w:kern w:val="0"/>
          <w:sz w:val="18"/>
          <w:szCs w:val="18"/>
          <w14:ligatures w14:val="none"/>
        </w:rPr>
        <w:t xml:space="preserve"> CD: cross-sectional dependence test. *** p&lt;0.01, ** p&lt;0.05, * p&lt;0.1.</w:t>
      </w:r>
    </w:p>
    <w:p w14:paraId="797D178A" w14:textId="77777777" w:rsidR="00E850E2" w:rsidRPr="00F325F3" w:rsidRDefault="00E850E2" w:rsidP="00E850E2">
      <w:pPr>
        <w:rPr>
          <w:rFonts w:ascii="Times New Roman" w:hAnsi="Times New Roman" w:cs="Times New Roman"/>
          <w:b/>
          <w:bCs/>
          <w:kern w:val="0"/>
          <w:sz w:val="22"/>
          <w:szCs w:val="22"/>
          <w:lang w:val="en-GB"/>
        </w:rPr>
      </w:pPr>
    </w:p>
    <w:p w14:paraId="4EFCF687" w14:textId="77777777" w:rsidR="00E850E2" w:rsidRDefault="00E850E2" w:rsidP="00E850E2">
      <w:pPr>
        <w:rPr>
          <w:rFonts w:ascii="Times New Roman" w:hAnsi="Times New Roman" w:cs="Times New Roman"/>
          <w:b/>
          <w:bCs/>
          <w:kern w:val="0"/>
          <w:sz w:val="22"/>
          <w:szCs w:val="22"/>
          <w:lang w:val="en-GB"/>
        </w:rPr>
      </w:pPr>
    </w:p>
    <w:p w14:paraId="598A7A60" w14:textId="77777777" w:rsidR="00E850E2" w:rsidRDefault="00E850E2" w:rsidP="00E850E2">
      <w:pPr>
        <w:rPr>
          <w:rFonts w:ascii="Times New Roman" w:hAnsi="Times New Roman" w:cs="Times New Roman"/>
          <w:b/>
          <w:bCs/>
          <w:kern w:val="0"/>
          <w:sz w:val="22"/>
          <w:szCs w:val="22"/>
          <w:lang w:val="en-GB"/>
        </w:rPr>
      </w:pPr>
    </w:p>
    <w:p w14:paraId="30858CD8" w14:textId="77777777" w:rsidR="00E850E2" w:rsidRDefault="00E850E2" w:rsidP="00E850E2">
      <w:pPr>
        <w:rPr>
          <w:rFonts w:ascii="Times New Roman" w:hAnsi="Times New Roman" w:cs="Times New Roman"/>
          <w:b/>
          <w:bCs/>
          <w:kern w:val="0"/>
          <w:sz w:val="22"/>
          <w:szCs w:val="22"/>
          <w:lang w:val="en-GB"/>
        </w:rPr>
      </w:pPr>
    </w:p>
    <w:p w14:paraId="0E78F764" w14:textId="77777777" w:rsidR="00E850E2" w:rsidRPr="00F325F3" w:rsidRDefault="00E850E2" w:rsidP="00E850E2">
      <w:pPr>
        <w:rPr>
          <w:rFonts w:ascii="Times New Roman" w:hAnsi="Times New Roman" w:cs="Times New Roman"/>
          <w:b/>
          <w:bCs/>
          <w:kern w:val="0"/>
          <w:sz w:val="22"/>
          <w:szCs w:val="22"/>
          <w:lang w:val="en-GB"/>
        </w:rPr>
      </w:pPr>
    </w:p>
    <w:p w14:paraId="51B75E4A" w14:textId="77777777" w:rsidR="00E850E2" w:rsidRPr="00F325F3" w:rsidRDefault="00E850E2" w:rsidP="00E850E2">
      <w:pPr>
        <w:rPr>
          <w:rFonts w:ascii="Times New Roman" w:hAnsi="Times New Roman" w:cs="Times New Roman"/>
          <w:b/>
          <w:bCs/>
          <w:kern w:val="0"/>
          <w:sz w:val="22"/>
          <w:szCs w:val="22"/>
          <w:lang w:val="en-GB"/>
        </w:rPr>
      </w:pPr>
    </w:p>
    <w:p w14:paraId="02A9281C" w14:textId="77777777" w:rsidR="00E850E2" w:rsidRPr="00F325F3" w:rsidRDefault="00E850E2" w:rsidP="00E850E2">
      <w:pPr>
        <w:rPr>
          <w:rFonts w:ascii="Times New Roman" w:hAnsi="Times New Roman" w:cs="Times New Roman"/>
          <w:b/>
          <w:bCs/>
          <w:kern w:val="0"/>
          <w:sz w:val="22"/>
          <w:szCs w:val="22"/>
          <w:lang w:val="en-GB"/>
        </w:rPr>
      </w:pPr>
    </w:p>
    <w:p w14:paraId="2E746AE0" w14:textId="77777777" w:rsidR="00E850E2" w:rsidRDefault="00E850E2" w:rsidP="00E850E2">
      <w:pPr>
        <w:rPr>
          <w:rFonts w:ascii="Times New Roman" w:hAnsi="Times New Roman" w:cs="Times New Roman"/>
          <w:kern w:val="0"/>
          <w:sz w:val="22"/>
          <w:szCs w:val="22"/>
        </w:rPr>
      </w:pPr>
      <w:r>
        <w:rPr>
          <w:rFonts w:ascii="Times New Roman" w:hAnsi="Times New Roman" w:cs="Times New Roman"/>
          <w:kern w:val="0"/>
          <w:sz w:val="22"/>
          <w:szCs w:val="22"/>
        </w:rPr>
        <w:br w:type="page"/>
      </w:r>
    </w:p>
    <w:p w14:paraId="4334EFC4" w14:textId="77777777" w:rsidR="00E850E2" w:rsidRDefault="00E850E2" w:rsidP="00E850E2">
      <w:pPr>
        <w:autoSpaceDE w:val="0"/>
        <w:autoSpaceDN w:val="0"/>
        <w:adjustRightInd w:val="0"/>
        <w:jc w:val="both"/>
        <w:rPr>
          <w:rFonts w:ascii="Times New Roman" w:hAnsi="Times New Roman" w:cs="Times New Roman"/>
          <w:b/>
          <w:bCs/>
          <w:kern w:val="0"/>
        </w:rPr>
        <w:sectPr w:rsidR="00E850E2" w:rsidSect="00E850E2">
          <w:footerReference w:type="even" r:id="rId13"/>
          <w:footerReference w:type="default" r:id="rId14"/>
          <w:pgSz w:w="11900" w:h="16820"/>
          <w:pgMar w:top="802" w:right="1134" w:bottom="1134" w:left="1417" w:header="708" w:footer="708" w:gutter="0"/>
          <w:cols w:space="708"/>
          <w:docGrid w:linePitch="360"/>
        </w:sectPr>
      </w:pPr>
    </w:p>
    <w:p w14:paraId="60DEFB42" w14:textId="77777777" w:rsidR="00E850E2" w:rsidRDefault="00E850E2" w:rsidP="00E850E2">
      <w:pPr>
        <w:autoSpaceDE w:val="0"/>
        <w:autoSpaceDN w:val="0"/>
        <w:adjustRightInd w:val="0"/>
        <w:jc w:val="both"/>
        <w:rPr>
          <w:rFonts w:ascii="Times New Roman" w:hAnsi="Times New Roman" w:cs="Times New Roman"/>
          <w:b/>
          <w:bCs/>
          <w:kern w:val="0"/>
        </w:rPr>
      </w:pPr>
      <w:r w:rsidRPr="00663AE5">
        <w:rPr>
          <w:rFonts w:ascii="Times New Roman" w:hAnsi="Times New Roman" w:cs="Times New Roman"/>
          <w:b/>
          <w:bCs/>
          <w:kern w:val="0"/>
        </w:rPr>
        <w:lastRenderedPageBreak/>
        <w:t xml:space="preserve">Table 3: Spatial dynamic panel model estimates </w:t>
      </w:r>
    </w:p>
    <w:tbl>
      <w:tblPr>
        <w:tblW w:w="0" w:type="auto"/>
        <w:tblCellMar>
          <w:left w:w="70" w:type="dxa"/>
          <w:right w:w="70" w:type="dxa"/>
        </w:tblCellMar>
        <w:tblLook w:val="04A0" w:firstRow="1" w:lastRow="0" w:firstColumn="1" w:lastColumn="0" w:noHBand="0" w:noVBand="1"/>
      </w:tblPr>
      <w:tblGrid>
        <w:gridCol w:w="2187"/>
        <w:gridCol w:w="1040"/>
        <w:gridCol w:w="1040"/>
        <w:gridCol w:w="1180"/>
        <w:gridCol w:w="1060"/>
        <w:gridCol w:w="1180"/>
        <w:gridCol w:w="1401"/>
      </w:tblGrid>
      <w:tr w:rsidR="00E850E2" w:rsidRPr="008A3160" w14:paraId="40076C80" w14:textId="77777777" w:rsidTr="00217E39">
        <w:trPr>
          <w:trHeight w:val="312"/>
        </w:trPr>
        <w:tc>
          <w:tcPr>
            <w:tcW w:w="0" w:type="auto"/>
            <w:tcBorders>
              <w:top w:val="single" w:sz="12" w:space="0" w:color="auto"/>
              <w:left w:val="nil"/>
              <w:bottom w:val="single" w:sz="12" w:space="0" w:color="auto"/>
              <w:right w:val="nil"/>
            </w:tcBorders>
            <w:vAlign w:val="center"/>
            <w:hideMark/>
          </w:tcPr>
          <w:p w14:paraId="6559F0A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w:t>
            </w:r>
          </w:p>
        </w:tc>
        <w:tc>
          <w:tcPr>
            <w:tcW w:w="0" w:type="auto"/>
            <w:tcBorders>
              <w:top w:val="single" w:sz="12" w:space="0" w:color="auto"/>
              <w:left w:val="nil"/>
              <w:bottom w:val="single" w:sz="12" w:space="0" w:color="auto"/>
              <w:right w:val="nil"/>
            </w:tcBorders>
            <w:vAlign w:val="center"/>
            <w:hideMark/>
          </w:tcPr>
          <w:p w14:paraId="4671790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(7)</w:t>
            </w:r>
          </w:p>
        </w:tc>
        <w:tc>
          <w:tcPr>
            <w:tcW w:w="0" w:type="auto"/>
            <w:tcBorders>
              <w:top w:val="single" w:sz="12" w:space="0" w:color="auto"/>
              <w:left w:val="nil"/>
              <w:bottom w:val="single" w:sz="12" w:space="0" w:color="auto"/>
              <w:right w:val="nil"/>
            </w:tcBorders>
            <w:vAlign w:val="center"/>
            <w:hideMark/>
          </w:tcPr>
          <w:p w14:paraId="0A3BE26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(8)</w:t>
            </w:r>
          </w:p>
        </w:tc>
        <w:tc>
          <w:tcPr>
            <w:tcW w:w="0" w:type="auto"/>
            <w:tcBorders>
              <w:top w:val="single" w:sz="12" w:space="0" w:color="auto"/>
              <w:left w:val="nil"/>
              <w:bottom w:val="single" w:sz="12" w:space="0" w:color="auto"/>
              <w:right w:val="nil"/>
            </w:tcBorders>
            <w:vAlign w:val="center"/>
            <w:hideMark/>
          </w:tcPr>
          <w:p w14:paraId="36691E0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(9)</w:t>
            </w:r>
          </w:p>
        </w:tc>
        <w:tc>
          <w:tcPr>
            <w:tcW w:w="0" w:type="auto"/>
            <w:tcBorders>
              <w:top w:val="single" w:sz="12" w:space="0" w:color="auto"/>
              <w:left w:val="nil"/>
              <w:bottom w:val="single" w:sz="12" w:space="0" w:color="auto"/>
              <w:right w:val="nil"/>
            </w:tcBorders>
            <w:vAlign w:val="center"/>
            <w:hideMark/>
          </w:tcPr>
          <w:p w14:paraId="79B1A42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(10)</w:t>
            </w:r>
          </w:p>
        </w:tc>
        <w:tc>
          <w:tcPr>
            <w:tcW w:w="0" w:type="auto"/>
            <w:tcBorders>
              <w:top w:val="single" w:sz="12" w:space="0" w:color="auto"/>
              <w:left w:val="nil"/>
              <w:bottom w:val="single" w:sz="12" w:space="0" w:color="auto"/>
              <w:right w:val="nil"/>
            </w:tcBorders>
            <w:vAlign w:val="center"/>
            <w:hideMark/>
          </w:tcPr>
          <w:p w14:paraId="2EF302B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(11)</w:t>
            </w:r>
          </w:p>
        </w:tc>
        <w:tc>
          <w:tcPr>
            <w:tcW w:w="0" w:type="auto"/>
            <w:tcBorders>
              <w:top w:val="single" w:sz="12" w:space="0" w:color="auto"/>
              <w:left w:val="nil"/>
              <w:bottom w:val="single" w:sz="12" w:space="0" w:color="auto"/>
              <w:right w:val="nil"/>
            </w:tcBorders>
            <w:vAlign w:val="center"/>
            <w:hideMark/>
          </w:tcPr>
          <w:p w14:paraId="3BBC409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(12)</w:t>
            </w:r>
          </w:p>
        </w:tc>
      </w:tr>
      <w:tr w:rsidR="00E850E2" w:rsidRPr="008A3160" w14:paraId="1912E683" w14:textId="77777777" w:rsidTr="00217E39">
        <w:trPr>
          <w:trHeight w:val="576"/>
        </w:trPr>
        <w:tc>
          <w:tcPr>
            <w:tcW w:w="0" w:type="auto"/>
            <w:tcBorders>
              <w:top w:val="nil"/>
              <w:left w:val="nil"/>
              <w:bottom w:val="single" w:sz="12" w:space="0" w:color="auto"/>
              <w:right w:val="nil"/>
            </w:tcBorders>
            <w:vAlign w:val="center"/>
            <w:hideMark/>
          </w:tcPr>
          <w:p w14:paraId="77DA3D7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w:t>
            </w:r>
          </w:p>
        </w:tc>
        <w:tc>
          <w:tcPr>
            <w:tcW w:w="0" w:type="auto"/>
            <w:tcBorders>
              <w:top w:val="nil"/>
              <w:left w:val="nil"/>
              <w:bottom w:val="single" w:sz="12" w:space="0" w:color="auto"/>
              <w:right w:val="nil"/>
            </w:tcBorders>
            <w:vAlign w:val="center"/>
            <w:hideMark/>
          </w:tcPr>
          <w:p w14:paraId="0A741B2E"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c>
          <w:tcPr>
            <w:tcW w:w="0" w:type="auto"/>
            <w:tcBorders>
              <w:top w:val="nil"/>
              <w:left w:val="nil"/>
              <w:bottom w:val="single" w:sz="12" w:space="0" w:color="auto"/>
              <w:right w:val="nil"/>
            </w:tcBorders>
            <w:vAlign w:val="center"/>
            <w:hideMark/>
          </w:tcPr>
          <w:p w14:paraId="2343623E"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c>
          <w:tcPr>
            <w:tcW w:w="0" w:type="auto"/>
            <w:tcBorders>
              <w:top w:val="nil"/>
              <w:left w:val="nil"/>
              <w:bottom w:val="single" w:sz="12" w:space="0" w:color="auto"/>
              <w:right w:val="nil"/>
            </w:tcBorders>
            <w:vAlign w:val="center"/>
            <w:hideMark/>
          </w:tcPr>
          <w:p w14:paraId="6B1CB6A4"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c>
          <w:tcPr>
            <w:tcW w:w="0" w:type="auto"/>
            <w:tcBorders>
              <w:top w:val="nil"/>
              <w:left w:val="nil"/>
              <w:bottom w:val="single" w:sz="12" w:space="0" w:color="auto"/>
              <w:right w:val="nil"/>
            </w:tcBorders>
            <w:vAlign w:val="center"/>
            <w:hideMark/>
          </w:tcPr>
          <w:p w14:paraId="4797B4C7"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c>
          <w:tcPr>
            <w:tcW w:w="0" w:type="auto"/>
            <w:tcBorders>
              <w:top w:val="nil"/>
              <w:left w:val="nil"/>
              <w:bottom w:val="single" w:sz="12" w:space="0" w:color="auto"/>
              <w:right w:val="nil"/>
            </w:tcBorders>
            <w:vAlign w:val="center"/>
            <w:hideMark/>
          </w:tcPr>
          <w:p w14:paraId="21FF123B"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c>
          <w:tcPr>
            <w:tcW w:w="0" w:type="auto"/>
            <w:tcBorders>
              <w:top w:val="nil"/>
              <w:left w:val="nil"/>
              <w:bottom w:val="single" w:sz="12" w:space="0" w:color="auto"/>
              <w:right w:val="nil"/>
            </w:tcBorders>
            <w:vAlign w:val="center"/>
            <w:hideMark/>
          </w:tcPr>
          <w:p w14:paraId="516B3667"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roofErr w:type="spellStart"/>
            <w:r w:rsidRPr="008A3160">
              <w:rPr>
                <w:rFonts w:ascii="Times New Roman" w:eastAsia="Times New Roman" w:hAnsi="Times New Roman" w:cs="Times New Roman"/>
                <w:b/>
                <w:bCs/>
                <w:color w:val="000000"/>
                <w:kern w:val="0"/>
                <w:lang w:val="it-IT" w:eastAsia="it-IT"/>
                <w14:ligatures w14:val="none"/>
              </w:rPr>
              <w:t>Spatial</w:t>
            </w:r>
            <w:proofErr w:type="spellEnd"/>
          </w:p>
        </w:tc>
      </w:tr>
      <w:tr w:rsidR="00E850E2" w:rsidRPr="008A3160" w14:paraId="165EEAF5" w14:textId="77777777" w:rsidTr="00217E39">
        <w:trPr>
          <w:trHeight w:val="20"/>
        </w:trPr>
        <w:tc>
          <w:tcPr>
            <w:tcW w:w="0" w:type="auto"/>
            <w:tcBorders>
              <w:top w:val="nil"/>
              <w:left w:val="nil"/>
              <w:bottom w:val="nil"/>
              <w:right w:val="nil"/>
            </w:tcBorders>
            <w:vAlign w:val="center"/>
            <w:hideMark/>
          </w:tcPr>
          <w:p w14:paraId="0521E1F2"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Spatial</w:t>
            </w:r>
            <w:proofErr w:type="spellEnd"/>
            <w:r w:rsidRPr="008A3160">
              <w:rPr>
                <w:rFonts w:ascii="Times New Roman" w:eastAsia="Times New Roman" w:hAnsi="Times New Roman" w:cs="Times New Roman"/>
                <w:i/>
                <w:iCs/>
                <w:color w:val="000000"/>
                <w:kern w:val="0"/>
                <w:lang w:val="it-IT" w:eastAsia="it-IT"/>
                <w14:ligatures w14:val="none"/>
              </w:rPr>
              <w:t xml:space="preserve"> lag (TBT)</w:t>
            </w:r>
          </w:p>
        </w:tc>
        <w:tc>
          <w:tcPr>
            <w:tcW w:w="0" w:type="auto"/>
            <w:tcBorders>
              <w:top w:val="nil"/>
              <w:left w:val="nil"/>
              <w:bottom w:val="nil"/>
              <w:right w:val="nil"/>
            </w:tcBorders>
            <w:vAlign w:val="center"/>
            <w:hideMark/>
          </w:tcPr>
          <w:p w14:paraId="7FE5B6C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0.302***</w:t>
            </w:r>
          </w:p>
        </w:tc>
        <w:tc>
          <w:tcPr>
            <w:tcW w:w="0" w:type="auto"/>
            <w:tcBorders>
              <w:top w:val="nil"/>
              <w:left w:val="nil"/>
              <w:bottom w:val="nil"/>
              <w:right w:val="nil"/>
            </w:tcBorders>
            <w:vAlign w:val="center"/>
            <w:hideMark/>
          </w:tcPr>
          <w:p w14:paraId="2AA22DD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0.324***</w:t>
            </w:r>
          </w:p>
        </w:tc>
        <w:tc>
          <w:tcPr>
            <w:tcW w:w="0" w:type="auto"/>
            <w:tcBorders>
              <w:top w:val="nil"/>
              <w:left w:val="nil"/>
              <w:bottom w:val="nil"/>
              <w:right w:val="nil"/>
            </w:tcBorders>
            <w:vAlign w:val="center"/>
            <w:hideMark/>
          </w:tcPr>
          <w:p w14:paraId="2AC63FE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0.395***</w:t>
            </w:r>
          </w:p>
        </w:tc>
        <w:tc>
          <w:tcPr>
            <w:tcW w:w="0" w:type="auto"/>
            <w:tcBorders>
              <w:top w:val="nil"/>
              <w:left w:val="nil"/>
              <w:bottom w:val="nil"/>
              <w:right w:val="nil"/>
            </w:tcBorders>
            <w:vAlign w:val="center"/>
            <w:hideMark/>
          </w:tcPr>
          <w:p w14:paraId="128DE80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0.113***</w:t>
            </w:r>
          </w:p>
        </w:tc>
        <w:tc>
          <w:tcPr>
            <w:tcW w:w="0" w:type="auto"/>
            <w:tcBorders>
              <w:top w:val="nil"/>
              <w:left w:val="nil"/>
              <w:bottom w:val="nil"/>
              <w:right w:val="nil"/>
            </w:tcBorders>
            <w:vAlign w:val="center"/>
            <w:hideMark/>
          </w:tcPr>
          <w:p w14:paraId="690BBC2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023DC29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0.101***</w:t>
            </w:r>
          </w:p>
        </w:tc>
      </w:tr>
      <w:tr w:rsidR="00E850E2" w:rsidRPr="008A3160" w14:paraId="78D0AD12" w14:textId="77777777" w:rsidTr="00217E39">
        <w:trPr>
          <w:trHeight w:val="20"/>
        </w:trPr>
        <w:tc>
          <w:tcPr>
            <w:tcW w:w="0" w:type="auto"/>
            <w:tcBorders>
              <w:top w:val="nil"/>
              <w:left w:val="nil"/>
              <w:bottom w:val="nil"/>
              <w:right w:val="nil"/>
            </w:tcBorders>
            <w:vAlign w:val="center"/>
            <w:hideMark/>
          </w:tcPr>
          <w:p w14:paraId="5268732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0C1667D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(0.097)</w:t>
            </w:r>
          </w:p>
        </w:tc>
        <w:tc>
          <w:tcPr>
            <w:tcW w:w="0" w:type="auto"/>
            <w:tcBorders>
              <w:top w:val="nil"/>
              <w:left w:val="nil"/>
              <w:bottom w:val="nil"/>
              <w:right w:val="nil"/>
            </w:tcBorders>
            <w:vAlign w:val="center"/>
            <w:hideMark/>
          </w:tcPr>
          <w:p w14:paraId="529AD10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(0.097)</w:t>
            </w:r>
          </w:p>
        </w:tc>
        <w:tc>
          <w:tcPr>
            <w:tcW w:w="0" w:type="auto"/>
            <w:tcBorders>
              <w:top w:val="nil"/>
              <w:left w:val="nil"/>
              <w:bottom w:val="nil"/>
              <w:right w:val="nil"/>
            </w:tcBorders>
            <w:vAlign w:val="center"/>
            <w:hideMark/>
          </w:tcPr>
          <w:p w14:paraId="1851507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(0.053)</w:t>
            </w:r>
          </w:p>
        </w:tc>
        <w:tc>
          <w:tcPr>
            <w:tcW w:w="0" w:type="auto"/>
            <w:tcBorders>
              <w:top w:val="nil"/>
              <w:left w:val="nil"/>
              <w:bottom w:val="nil"/>
              <w:right w:val="nil"/>
            </w:tcBorders>
            <w:vAlign w:val="center"/>
            <w:hideMark/>
          </w:tcPr>
          <w:p w14:paraId="02896A3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(0.030)</w:t>
            </w:r>
          </w:p>
        </w:tc>
        <w:tc>
          <w:tcPr>
            <w:tcW w:w="0" w:type="auto"/>
            <w:tcBorders>
              <w:top w:val="nil"/>
              <w:left w:val="nil"/>
              <w:bottom w:val="nil"/>
              <w:right w:val="nil"/>
            </w:tcBorders>
            <w:vAlign w:val="center"/>
            <w:hideMark/>
          </w:tcPr>
          <w:p w14:paraId="6CBC3FD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0CE99A4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(0.014)</w:t>
            </w:r>
          </w:p>
        </w:tc>
      </w:tr>
      <w:tr w:rsidR="00E850E2" w:rsidRPr="008A3160" w14:paraId="0699FE70" w14:textId="77777777" w:rsidTr="00217E39">
        <w:trPr>
          <w:trHeight w:val="20"/>
        </w:trPr>
        <w:tc>
          <w:tcPr>
            <w:tcW w:w="0" w:type="auto"/>
            <w:tcBorders>
              <w:top w:val="nil"/>
              <w:left w:val="nil"/>
              <w:bottom w:val="nil"/>
              <w:right w:val="nil"/>
            </w:tcBorders>
            <w:vAlign w:val="center"/>
            <w:hideMark/>
          </w:tcPr>
          <w:p w14:paraId="788C8179"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Spatial</w:t>
            </w:r>
            <w:proofErr w:type="spellEnd"/>
            <w:r w:rsidRPr="008A3160">
              <w:rPr>
                <w:rFonts w:ascii="Times New Roman" w:eastAsia="Times New Roman" w:hAnsi="Times New Roman" w:cs="Times New Roman"/>
                <w:i/>
                <w:iCs/>
                <w:color w:val="000000"/>
                <w:kern w:val="0"/>
                <w:lang w:val="it-IT" w:eastAsia="it-IT"/>
                <w14:ligatures w14:val="none"/>
              </w:rPr>
              <w:t xml:space="preserve"> lag (lag TBT)</w:t>
            </w:r>
          </w:p>
        </w:tc>
        <w:tc>
          <w:tcPr>
            <w:tcW w:w="0" w:type="auto"/>
            <w:tcBorders>
              <w:top w:val="nil"/>
              <w:left w:val="nil"/>
              <w:bottom w:val="nil"/>
              <w:right w:val="nil"/>
            </w:tcBorders>
            <w:vAlign w:val="center"/>
            <w:hideMark/>
          </w:tcPr>
          <w:p w14:paraId="414FFB6A"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346CE01C"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FDE5A67"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03EFF28"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BCF5DE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0.175***</w:t>
            </w:r>
          </w:p>
        </w:tc>
        <w:tc>
          <w:tcPr>
            <w:tcW w:w="0" w:type="auto"/>
            <w:tcBorders>
              <w:top w:val="nil"/>
              <w:left w:val="nil"/>
              <w:bottom w:val="nil"/>
              <w:right w:val="nil"/>
            </w:tcBorders>
            <w:vAlign w:val="center"/>
            <w:hideMark/>
          </w:tcPr>
          <w:p w14:paraId="4D53100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r>
      <w:tr w:rsidR="00E850E2" w:rsidRPr="008A3160" w14:paraId="426C6E63" w14:textId="77777777" w:rsidTr="00217E39">
        <w:trPr>
          <w:trHeight w:val="20"/>
        </w:trPr>
        <w:tc>
          <w:tcPr>
            <w:tcW w:w="0" w:type="auto"/>
            <w:tcBorders>
              <w:top w:val="nil"/>
              <w:left w:val="nil"/>
              <w:bottom w:val="nil"/>
              <w:right w:val="nil"/>
            </w:tcBorders>
            <w:vAlign w:val="center"/>
            <w:hideMark/>
          </w:tcPr>
          <w:p w14:paraId="5CC2BCC4"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35D0A03E"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1FA039BA"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60D347D2"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477266C"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A09BCA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(0.024)</w:t>
            </w:r>
          </w:p>
        </w:tc>
        <w:tc>
          <w:tcPr>
            <w:tcW w:w="0" w:type="auto"/>
            <w:tcBorders>
              <w:top w:val="nil"/>
              <w:left w:val="nil"/>
              <w:bottom w:val="nil"/>
              <w:right w:val="nil"/>
            </w:tcBorders>
            <w:vAlign w:val="center"/>
            <w:hideMark/>
          </w:tcPr>
          <w:p w14:paraId="3296133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r>
      <w:tr w:rsidR="00E850E2" w:rsidRPr="008A3160" w14:paraId="0C4DCF77" w14:textId="77777777" w:rsidTr="00217E39">
        <w:trPr>
          <w:trHeight w:val="20"/>
        </w:trPr>
        <w:tc>
          <w:tcPr>
            <w:tcW w:w="0" w:type="auto"/>
            <w:tcBorders>
              <w:top w:val="nil"/>
              <w:left w:val="nil"/>
              <w:bottom w:val="nil"/>
              <w:right w:val="nil"/>
            </w:tcBorders>
            <w:vAlign w:val="center"/>
            <w:hideMark/>
          </w:tcPr>
          <w:p w14:paraId="54D3AF65"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Lag (TBT)</w:t>
            </w:r>
          </w:p>
        </w:tc>
        <w:tc>
          <w:tcPr>
            <w:tcW w:w="0" w:type="auto"/>
            <w:tcBorders>
              <w:top w:val="nil"/>
              <w:left w:val="nil"/>
              <w:bottom w:val="nil"/>
              <w:right w:val="nil"/>
            </w:tcBorders>
            <w:vAlign w:val="center"/>
            <w:hideMark/>
          </w:tcPr>
          <w:p w14:paraId="57FC90F4"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0F51C3A0"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ECA8294"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A003D1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0.686***</w:t>
            </w:r>
          </w:p>
        </w:tc>
        <w:tc>
          <w:tcPr>
            <w:tcW w:w="0" w:type="auto"/>
            <w:tcBorders>
              <w:top w:val="nil"/>
              <w:left w:val="nil"/>
              <w:bottom w:val="nil"/>
              <w:right w:val="nil"/>
            </w:tcBorders>
            <w:vAlign w:val="center"/>
            <w:hideMark/>
          </w:tcPr>
          <w:p w14:paraId="063530B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0.574***</w:t>
            </w:r>
          </w:p>
        </w:tc>
        <w:tc>
          <w:tcPr>
            <w:tcW w:w="0" w:type="auto"/>
            <w:tcBorders>
              <w:top w:val="nil"/>
              <w:left w:val="nil"/>
              <w:bottom w:val="nil"/>
              <w:right w:val="nil"/>
            </w:tcBorders>
            <w:vAlign w:val="center"/>
            <w:hideMark/>
          </w:tcPr>
          <w:p w14:paraId="419BAD2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r>
      <w:tr w:rsidR="00E850E2" w:rsidRPr="008A3160" w14:paraId="4E2110B7" w14:textId="77777777" w:rsidTr="00217E39">
        <w:trPr>
          <w:trHeight w:val="20"/>
        </w:trPr>
        <w:tc>
          <w:tcPr>
            <w:tcW w:w="0" w:type="auto"/>
            <w:tcBorders>
              <w:top w:val="nil"/>
              <w:left w:val="nil"/>
              <w:bottom w:val="nil"/>
              <w:right w:val="nil"/>
            </w:tcBorders>
            <w:vAlign w:val="center"/>
            <w:hideMark/>
          </w:tcPr>
          <w:p w14:paraId="201CC11A"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A28D71E"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5BD1571D"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907DCBD"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DABF30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(0.013)</w:t>
            </w:r>
          </w:p>
        </w:tc>
        <w:tc>
          <w:tcPr>
            <w:tcW w:w="0" w:type="auto"/>
            <w:tcBorders>
              <w:top w:val="nil"/>
              <w:left w:val="nil"/>
              <w:bottom w:val="nil"/>
              <w:right w:val="nil"/>
            </w:tcBorders>
            <w:vAlign w:val="center"/>
            <w:hideMark/>
          </w:tcPr>
          <w:p w14:paraId="189778D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(0.029)</w:t>
            </w:r>
          </w:p>
        </w:tc>
        <w:tc>
          <w:tcPr>
            <w:tcW w:w="0" w:type="auto"/>
            <w:tcBorders>
              <w:top w:val="nil"/>
              <w:left w:val="nil"/>
              <w:bottom w:val="nil"/>
              <w:right w:val="nil"/>
            </w:tcBorders>
            <w:vAlign w:val="center"/>
            <w:hideMark/>
          </w:tcPr>
          <w:p w14:paraId="0603780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r>
      <w:tr w:rsidR="00E850E2" w:rsidRPr="008A3160" w14:paraId="25E40B4B" w14:textId="77777777" w:rsidTr="00217E39">
        <w:trPr>
          <w:trHeight w:val="20"/>
        </w:trPr>
        <w:tc>
          <w:tcPr>
            <w:tcW w:w="0" w:type="auto"/>
            <w:tcBorders>
              <w:top w:val="nil"/>
              <w:left w:val="nil"/>
              <w:bottom w:val="nil"/>
              <w:right w:val="nil"/>
            </w:tcBorders>
            <w:vAlign w:val="center"/>
            <w:hideMark/>
          </w:tcPr>
          <w:p w14:paraId="658B2AB3"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envRTA</w:t>
            </w:r>
            <w:proofErr w:type="spellEnd"/>
          </w:p>
        </w:tc>
        <w:tc>
          <w:tcPr>
            <w:tcW w:w="0" w:type="auto"/>
            <w:tcBorders>
              <w:top w:val="nil"/>
              <w:left w:val="nil"/>
              <w:bottom w:val="nil"/>
              <w:right w:val="nil"/>
            </w:tcBorders>
            <w:vAlign w:val="center"/>
            <w:hideMark/>
          </w:tcPr>
          <w:p w14:paraId="26F1F64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1.217***</w:t>
            </w:r>
          </w:p>
        </w:tc>
        <w:tc>
          <w:tcPr>
            <w:tcW w:w="0" w:type="auto"/>
            <w:tcBorders>
              <w:top w:val="nil"/>
              <w:left w:val="nil"/>
              <w:bottom w:val="nil"/>
              <w:right w:val="nil"/>
            </w:tcBorders>
            <w:vAlign w:val="center"/>
            <w:hideMark/>
          </w:tcPr>
          <w:p w14:paraId="2B821F8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39FFF25B"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B015A03"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6DE6ED78"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F310044" w14:textId="77777777" w:rsidR="00E850E2" w:rsidRPr="008A3160" w:rsidRDefault="00E850E2" w:rsidP="00217E39">
            <w:pPr>
              <w:rPr>
                <w:rFonts w:ascii="Times New Roman" w:eastAsia="Times New Roman" w:hAnsi="Times New Roman" w:cs="Times New Roman"/>
                <w:kern w:val="0"/>
                <w:lang w:val="it-IT" w:eastAsia="it-IT"/>
                <w14:ligatures w14:val="none"/>
              </w:rPr>
            </w:pPr>
          </w:p>
        </w:tc>
      </w:tr>
      <w:tr w:rsidR="00E850E2" w:rsidRPr="008A3160" w14:paraId="1E4EA7D3" w14:textId="77777777" w:rsidTr="00217E39">
        <w:trPr>
          <w:trHeight w:val="20"/>
        </w:trPr>
        <w:tc>
          <w:tcPr>
            <w:tcW w:w="0" w:type="auto"/>
            <w:tcBorders>
              <w:top w:val="nil"/>
              <w:left w:val="nil"/>
              <w:bottom w:val="nil"/>
              <w:right w:val="nil"/>
            </w:tcBorders>
            <w:vAlign w:val="center"/>
            <w:hideMark/>
          </w:tcPr>
          <w:p w14:paraId="389206E0"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551E95E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(0.073)</w:t>
            </w:r>
          </w:p>
        </w:tc>
        <w:tc>
          <w:tcPr>
            <w:tcW w:w="0" w:type="auto"/>
            <w:tcBorders>
              <w:top w:val="nil"/>
              <w:left w:val="nil"/>
              <w:bottom w:val="nil"/>
              <w:right w:val="nil"/>
            </w:tcBorders>
            <w:vAlign w:val="center"/>
            <w:hideMark/>
          </w:tcPr>
          <w:p w14:paraId="116A2A5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30E740DF"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32B068C1"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34AF815E"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C02B10A" w14:textId="77777777" w:rsidR="00E850E2" w:rsidRPr="008A3160" w:rsidRDefault="00E850E2" w:rsidP="00217E39">
            <w:pPr>
              <w:rPr>
                <w:rFonts w:ascii="Times New Roman" w:eastAsia="Times New Roman" w:hAnsi="Times New Roman" w:cs="Times New Roman"/>
                <w:kern w:val="0"/>
                <w:lang w:val="it-IT" w:eastAsia="it-IT"/>
                <w14:ligatures w14:val="none"/>
              </w:rPr>
            </w:pPr>
          </w:p>
        </w:tc>
      </w:tr>
      <w:tr w:rsidR="00E850E2" w:rsidRPr="008A3160" w14:paraId="1ADD0717" w14:textId="77777777" w:rsidTr="00217E39">
        <w:trPr>
          <w:trHeight w:val="20"/>
        </w:trPr>
        <w:tc>
          <w:tcPr>
            <w:tcW w:w="0" w:type="auto"/>
            <w:tcBorders>
              <w:top w:val="nil"/>
              <w:left w:val="nil"/>
              <w:bottom w:val="nil"/>
              <w:right w:val="nil"/>
            </w:tcBorders>
            <w:vAlign w:val="center"/>
            <w:hideMark/>
          </w:tcPr>
          <w:p w14:paraId="4A88FF4D"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RTA1025</w:t>
            </w:r>
          </w:p>
        </w:tc>
        <w:tc>
          <w:tcPr>
            <w:tcW w:w="0" w:type="auto"/>
            <w:tcBorders>
              <w:top w:val="nil"/>
              <w:left w:val="nil"/>
              <w:bottom w:val="nil"/>
              <w:right w:val="nil"/>
            </w:tcBorders>
            <w:vAlign w:val="center"/>
            <w:hideMark/>
          </w:tcPr>
          <w:p w14:paraId="04B708EA"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7CDDA79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2.578***</w:t>
            </w:r>
          </w:p>
        </w:tc>
        <w:tc>
          <w:tcPr>
            <w:tcW w:w="0" w:type="auto"/>
            <w:tcBorders>
              <w:top w:val="nil"/>
              <w:left w:val="nil"/>
              <w:bottom w:val="nil"/>
              <w:right w:val="nil"/>
            </w:tcBorders>
            <w:vAlign w:val="center"/>
            <w:hideMark/>
          </w:tcPr>
          <w:p w14:paraId="5E740B2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2.426***</w:t>
            </w:r>
          </w:p>
        </w:tc>
        <w:tc>
          <w:tcPr>
            <w:tcW w:w="0" w:type="auto"/>
            <w:tcBorders>
              <w:top w:val="nil"/>
              <w:left w:val="nil"/>
              <w:bottom w:val="nil"/>
              <w:right w:val="nil"/>
            </w:tcBorders>
            <w:vAlign w:val="center"/>
            <w:hideMark/>
          </w:tcPr>
          <w:p w14:paraId="24DBA36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0.609**</w:t>
            </w:r>
          </w:p>
        </w:tc>
        <w:tc>
          <w:tcPr>
            <w:tcW w:w="0" w:type="auto"/>
            <w:tcBorders>
              <w:top w:val="nil"/>
              <w:left w:val="nil"/>
              <w:bottom w:val="nil"/>
              <w:right w:val="nil"/>
            </w:tcBorders>
            <w:vAlign w:val="center"/>
            <w:hideMark/>
          </w:tcPr>
          <w:p w14:paraId="1918FCB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0.437*</w:t>
            </w:r>
          </w:p>
        </w:tc>
        <w:tc>
          <w:tcPr>
            <w:tcW w:w="0" w:type="auto"/>
            <w:tcBorders>
              <w:top w:val="nil"/>
              <w:left w:val="nil"/>
              <w:bottom w:val="nil"/>
              <w:right w:val="nil"/>
            </w:tcBorders>
            <w:vAlign w:val="center"/>
            <w:hideMark/>
          </w:tcPr>
          <w:p w14:paraId="6EA3BED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2.369***</w:t>
            </w:r>
          </w:p>
        </w:tc>
      </w:tr>
      <w:tr w:rsidR="00E850E2" w:rsidRPr="008A3160" w14:paraId="16C70B1C" w14:textId="77777777" w:rsidTr="00217E39">
        <w:trPr>
          <w:trHeight w:val="20"/>
        </w:trPr>
        <w:tc>
          <w:tcPr>
            <w:tcW w:w="0" w:type="auto"/>
            <w:tcBorders>
              <w:top w:val="nil"/>
              <w:left w:val="nil"/>
              <w:bottom w:val="nil"/>
              <w:right w:val="nil"/>
            </w:tcBorders>
            <w:vAlign w:val="center"/>
            <w:hideMark/>
          </w:tcPr>
          <w:p w14:paraId="2C65ADB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53C4F27B"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59745B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(0.334)</w:t>
            </w:r>
          </w:p>
        </w:tc>
        <w:tc>
          <w:tcPr>
            <w:tcW w:w="0" w:type="auto"/>
            <w:tcBorders>
              <w:top w:val="nil"/>
              <w:left w:val="nil"/>
              <w:bottom w:val="nil"/>
              <w:right w:val="nil"/>
            </w:tcBorders>
            <w:vAlign w:val="center"/>
            <w:hideMark/>
          </w:tcPr>
          <w:p w14:paraId="5759EF3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(0.326)</w:t>
            </w:r>
          </w:p>
        </w:tc>
        <w:tc>
          <w:tcPr>
            <w:tcW w:w="0" w:type="auto"/>
            <w:tcBorders>
              <w:top w:val="nil"/>
              <w:left w:val="nil"/>
              <w:bottom w:val="nil"/>
              <w:right w:val="nil"/>
            </w:tcBorders>
            <w:vAlign w:val="center"/>
            <w:hideMark/>
          </w:tcPr>
          <w:p w14:paraId="303C0A1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(0.239)</w:t>
            </w:r>
          </w:p>
        </w:tc>
        <w:tc>
          <w:tcPr>
            <w:tcW w:w="0" w:type="auto"/>
            <w:tcBorders>
              <w:top w:val="nil"/>
              <w:left w:val="nil"/>
              <w:bottom w:val="nil"/>
              <w:right w:val="nil"/>
            </w:tcBorders>
            <w:vAlign w:val="center"/>
            <w:hideMark/>
          </w:tcPr>
          <w:p w14:paraId="0A5C1C2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(0.239)</w:t>
            </w:r>
          </w:p>
        </w:tc>
        <w:tc>
          <w:tcPr>
            <w:tcW w:w="0" w:type="auto"/>
            <w:tcBorders>
              <w:top w:val="nil"/>
              <w:left w:val="nil"/>
              <w:bottom w:val="nil"/>
              <w:right w:val="nil"/>
            </w:tcBorders>
            <w:vAlign w:val="center"/>
            <w:hideMark/>
          </w:tcPr>
          <w:p w14:paraId="0AAFD69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(0.328)</w:t>
            </w:r>
          </w:p>
        </w:tc>
      </w:tr>
      <w:tr w:rsidR="00E850E2" w:rsidRPr="008A3160" w14:paraId="09C1A5AF" w14:textId="77777777" w:rsidTr="00217E39">
        <w:trPr>
          <w:trHeight w:val="20"/>
        </w:trPr>
        <w:tc>
          <w:tcPr>
            <w:tcW w:w="0" w:type="auto"/>
            <w:gridSpan w:val="2"/>
            <w:tcBorders>
              <w:top w:val="nil"/>
              <w:left w:val="nil"/>
              <w:bottom w:val="nil"/>
              <w:right w:val="nil"/>
            </w:tcBorders>
            <w:vAlign w:val="center"/>
            <w:hideMark/>
          </w:tcPr>
          <w:p w14:paraId="6D01FEDF"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RTA1026</w:t>
            </w:r>
          </w:p>
        </w:tc>
        <w:tc>
          <w:tcPr>
            <w:tcW w:w="0" w:type="auto"/>
            <w:tcBorders>
              <w:top w:val="nil"/>
              <w:left w:val="nil"/>
              <w:bottom w:val="nil"/>
              <w:right w:val="nil"/>
            </w:tcBorders>
            <w:vAlign w:val="center"/>
            <w:hideMark/>
          </w:tcPr>
          <w:p w14:paraId="009B98B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-0.171</w:t>
            </w:r>
          </w:p>
        </w:tc>
        <w:tc>
          <w:tcPr>
            <w:tcW w:w="0" w:type="auto"/>
            <w:tcBorders>
              <w:top w:val="nil"/>
              <w:left w:val="nil"/>
              <w:bottom w:val="nil"/>
              <w:right w:val="nil"/>
            </w:tcBorders>
            <w:vAlign w:val="center"/>
            <w:hideMark/>
          </w:tcPr>
          <w:p w14:paraId="6C3E66F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-0.298</w:t>
            </w:r>
          </w:p>
        </w:tc>
        <w:tc>
          <w:tcPr>
            <w:tcW w:w="0" w:type="auto"/>
            <w:tcBorders>
              <w:top w:val="nil"/>
              <w:left w:val="nil"/>
              <w:bottom w:val="nil"/>
              <w:right w:val="nil"/>
            </w:tcBorders>
            <w:vAlign w:val="center"/>
            <w:hideMark/>
          </w:tcPr>
          <w:p w14:paraId="310009D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-0.182</w:t>
            </w:r>
          </w:p>
        </w:tc>
        <w:tc>
          <w:tcPr>
            <w:tcW w:w="0" w:type="auto"/>
            <w:tcBorders>
              <w:top w:val="nil"/>
              <w:left w:val="nil"/>
              <w:bottom w:val="nil"/>
              <w:right w:val="nil"/>
            </w:tcBorders>
            <w:vAlign w:val="center"/>
            <w:hideMark/>
          </w:tcPr>
          <w:p w14:paraId="698542E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-0.098</w:t>
            </w:r>
          </w:p>
        </w:tc>
        <w:tc>
          <w:tcPr>
            <w:tcW w:w="0" w:type="auto"/>
            <w:tcBorders>
              <w:top w:val="nil"/>
              <w:left w:val="nil"/>
              <w:bottom w:val="nil"/>
              <w:right w:val="nil"/>
            </w:tcBorders>
            <w:vAlign w:val="center"/>
            <w:hideMark/>
          </w:tcPr>
          <w:p w14:paraId="3864B00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-0.21</w:t>
            </w:r>
          </w:p>
        </w:tc>
      </w:tr>
      <w:tr w:rsidR="00E850E2" w:rsidRPr="008A3160" w14:paraId="2807CF78" w14:textId="77777777" w:rsidTr="00217E39">
        <w:trPr>
          <w:trHeight w:val="20"/>
        </w:trPr>
        <w:tc>
          <w:tcPr>
            <w:tcW w:w="0" w:type="auto"/>
            <w:tcBorders>
              <w:top w:val="nil"/>
              <w:left w:val="nil"/>
              <w:bottom w:val="nil"/>
              <w:right w:val="nil"/>
            </w:tcBorders>
            <w:vAlign w:val="center"/>
            <w:hideMark/>
          </w:tcPr>
          <w:p w14:paraId="64FDD35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78A15CE3"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617557B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(0.347)</w:t>
            </w:r>
          </w:p>
        </w:tc>
        <w:tc>
          <w:tcPr>
            <w:tcW w:w="0" w:type="auto"/>
            <w:tcBorders>
              <w:top w:val="nil"/>
              <w:left w:val="nil"/>
              <w:bottom w:val="nil"/>
              <w:right w:val="nil"/>
            </w:tcBorders>
            <w:vAlign w:val="center"/>
            <w:hideMark/>
          </w:tcPr>
          <w:p w14:paraId="6DB2ECD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(0.331)</w:t>
            </w:r>
          </w:p>
        </w:tc>
        <w:tc>
          <w:tcPr>
            <w:tcW w:w="0" w:type="auto"/>
            <w:tcBorders>
              <w:top w:val="nil"/>
              <w:left w:val="nil"/>
              <w:bottom w:val="nil"/>
              <w:right w:val="nil"/>
            </w:tcBorders>
            <w:vAlign w:val="center"/>
            <w:hideMark/>
          </w:tcPr>
          <w:p w14:paraId="0435848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(0.24)</w:t>
            </w:r>
          </w:p>
        </w:tc>
        <w:tc>
          <w:tcPr>
            <w:tcW w:w="0" w:type="auto"/>
            <w:tcBorders>
              <w:top w:val="nil"/>
              <w:left w:val="nil"/>
              <w:bottom w:val="nil"/>
              <w:right w:val="nil"/>
            </w:tcBorders>
            <w:vAlign w:val="center"/>
            <w:hideMark/>
          </w:tcPr>
          <w:p w14:paraId="142AB36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(0.237)</w:t>
            </w:r>
          </w:p>
        </w:tc>
        <w:tc>
          <w:tcPr>
            <w:tcW w:w="0" w:type="auto"/>
            <w:tcBorders>
              <w:top w:val="nil"/>
              <w:left w:val="nil"/>
              <w:bottom w:val="nil"/>
              <w:right w:val="nil"/>
            </w:tcBorders>
            <w:vAlign w:val="center"/>
            <w:hideMark/>
          </w:tcPr>
          <w:p w14:paraId="4531F16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(0.332)</w:t>
            </w:r>
          </w:p>
        </w:tc>
      </w:tr>
      <w:tr w:rsidR="00E850E2" w:rsidRPr="008A3160" w14:paraId="644F17B6" w14:textId="77777777" w:rsidTr="00217E39">
        <w:trPr>
          <w:trHeight w:val="20"/>
        </w:trPr>
        <w:tc>
          <w:tcPr>
            <w:tcW w:w="0" w:type="auto"/>
            <w:tcBorders>
              <w:top w:val="nil"/>
              <w:left w:val="nil"/>
              <w:bottom w:val="nil"/>
              <w:right w:val="nil"/>
            </w:tcBorders>
            <w:vAlign w:val="center"/>
            <w:hideMark/>
          </w:tcPr>
          <w:p w14:paraId="4EAF0583"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Tpes</w:t>
            </w:r>
            <w:proofErr w:type="spellEnd"/>
          </w:p>
        </w:tc>
        <w:tc>
          <w:tcPr>
            <w:tcW w:w="0" w:type="auto"/>
            <w:tcBorders>
              <w:top w:val="nil"/>
              <w:left w:val="nil"/>
              <w:bottom w:val="nil"/>
              <w:right w:val="nil"/>
            </w:tcBorders>
            <w:vAlign w:val="center"/>
            <w:hideMark/>
          </w:tcPr>
          <w:p w14:paraId="2B73410B"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7F92FD49"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50BE5D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0.448*</w:t>
            </w:r>
          </w:p>
        </w:tc>
        <w:tc>
          <w:tcPr>
            <w:tcW w:w="0" w:type="auto"/>
            <w:tcBorders>
              <w:top w:val="nil"/>
              <w:left w:val="nil"/>
              <w:bottom w:val="nil"/>
              <w:right w:val="nil"/>
            </w:tcBorders>
            <w:vAlign w:val="center"/>
            <w:hideMark/>
          </w:tcPr>
          <w:p w14:paraId="747E0B0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0.128</w:t>
            </w:r>
          </w:p>
        </w:tc>
        <w:tc>
          <w:tcPr>
            <w:tcW w:w="0" w:type="auto"/>
            <w:tcBorders>
              <w:top w:val="nil"/>
              <w:left w:val="nil"/>
              <w:bottom w:val="nil"/>
              <w:right w:val="nil"/>
            </w:tcBorders>
            <w:vAlign w:val="center"/>
            <w:hideMark/>
          </w:tcPr>
          <w:p w14:paraId="2278F64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-0.016</w:t>
            </w:r>
          </w:p>
        </w:tc>
        <w:tc>
          <w:tcPr>
            <w:tcW w:w="0" w:type="auto"/>
            <w:tcBorders>
              <w:top w:val="nil"/>
              <w:left w:val="nil"/>
              <w:bottom w:val="nil"/>
              <w:right w:val="nil"/>
            </w:tcBorders>
            <w:vAlign w:val="center"/>
            <w:hideMark/>
          </w:tcPr>
          <w:p w14:paraId="158D2EF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0.443**</w:t>
            </w:r>
          </w:p>
        </w:tc>
      </w:tr>
      <w:tr w:rsidR="00E850E2" w:rsidRPr="008A3160" w14:paraId="5483F36F" w14:textId="77777777" w:rsidTr="00217E39">
        <w:trPr>
          <w:trHeight w:val="20"/>
        </w:trPr>
        <w:tc>
          <w:tcPr>
            <w:tcW w:w="0" w:type="auto"/>
            <w:tcBorders>
              <w:top w:val="nil"/>
              <w:left w:val="nil"/>
              <w:bottom w:val="nil"/>
              <w:right w:val="nil"/>
            </w:tcBorders>
            <w:vAlign w:val="center"/>
            <w:hideMark/>
          </w:tcPr>
          <w:p w14:paraId="494D8F7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3F86773E"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4994E48"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85CE1F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(0.286)</w:t>
            </w:r>
          </w:p>
        </w:tc>
        <w:tc>
          <w:tcPr>
            <w:tcW w:w="0" w:type="auto"/>
            <w:tcBorders>
              <w:top w:val="nil"/>
              <w:left w:val="nil"/>
              <w:bottom w:val="nil"/>
              <w:right w:val="nil"/>
            </w:tcBorders>
            <w:vAlign w:val="center"/>
            <w:hideMark/>
          </w:tcPr>
          <w:p w14:paraId="0E54C6D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(0.207)</w:t>
            </w:r>
          </w:p>
        </w:tc>
        <w:tc>
          <w:tcPr>
            <w:tcW w:w="0" w:type="auto"/>
            <w:tcBorders>
              <w:top w:val="nil"/>
              <w:left w:val="nil"/>
              <w:bottom w:val="nil"/>
              <w:right w:val="nil"/>
            </w:tcBorders>
            <w:vAlign w:val="center"/>
            <w:hideMark/>
          </w:tcPr>
          <w:p w14:paraId="655C522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(0.206)</w:t>
            </w:r>
          </w:p>
        </w:tc>
        <w:tc>
          <w:tcPr>
            <w:tcW w:w="0" w:type="auto"/>
            <w:tcBorders>
              <w:top w:val="nil"/>
              <w:left w:val="nil"/>
              <w:bottom w:val="nil"/>
              <w:right w:val="nil"/>
            </w:tcBorders>
            <w:vAlign w:val="center"/>
            <w:hideMark/>
          </w:tcPr>
          <w:p w14:paraId="21C9C47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(0.273)</w:t>
            </w:r>
          </w:p>
        </w:tc>
      </w:tr>
      <w:tr w:rsidR="00E850E2" w:rsidRPr="008A3160" w14:paraId="1400F20A" w14:textId="77777777" w:rsidTr="00217E39">
        <w:trPr>
          <w:trHeight w:val="20"/>
        </w:trPr>
        <w:tc>
          <w:tcPr>
            <w:tcW w:w="0" w:type="auto"/>
            <w:tcBorders>
              <w:top w:val="nil"/>
              <w:left w:val="nil"/>
              <w:bottom w:val="nil"/>
              <w:right w:val="nil"/>
            </w:tcBorders>
            <w:vAlign w:val="center"/>
            <w:hideMark/>
          </w:tcPr>
          <w:p w14:paraId="651EC51C"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Tfert</w:t>
            </w:r>
            <w:proofErr w:type="spellEnd"/>
          </w:p>
        </w:tc>
        <w:tc>
          <w:tcPr>
            <w:tcW w:w="0" w:type="auto"/>
            <w:tcBorders>
              <w:top w:val="nil"/>
              <w:left w:val="nil"/>
              <w:bottom w:val="nil"/>
              <w:right w:val="nil"/>
            </w:tcBorders>
            <w:vAlign w:val="center"/>
            <w:hideMark/>
          </w:tcPr>
          <w:p w14:paraId="687CB091"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128E8C03"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19E00B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-0.062</w:t>
            </w:r>
          </w:p>
        </w:tc>
        <w:tc>
          <w:tcPr>
            <w:tcW w:w="0" w:type="auto"/>
            <w:tcBorders>
              <w:top w:val="nil"/>
              <w:left w:val="nil"/>
              <w:bottom w:val="nil"/>
              <w:right w:val="nil"/>
            </w:tcBorders>
            <w:vAlign w:val="center"/>
            <w:hideMark/>
          </w:tcPr>
          <w:p w14:paraId="258D699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-0.05</w:t>
            </w:r>
          </w:p>
        </w:tc>
        <w:tc>
          <w:tcPr>
            <w:tcW w:w="0" w:type="auto"/>
            <w:tcBorders>
              <w:top w:val="nil"/>
              <w:left w:val="nil"/>
              <w:bottom w:val="nil"/>
              <w:right w:val="nil"/>
            </w:tcBorders>
            <w:vAlign w:val="center"/>
            <w:hideMark/>
          </w:tcPr>
          <w:p w14:paraId="3D18467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w:t>
            </w:r>
          </w:p>
        </w:tc>
        <w:tc>
          <w:tcPr>
            <w:tcW w:w="0" w:type="auto"/>
            <w:tcBorders>
              <w:top w:val="nil"/>
              <w:left w:val="nil"/>
              <w:bottom w:val="nil"/>
              <w:right w:val="nil"/>
            </w:tcBorders>
            <w:vAlign w:val="center"/>
            <w:hideMark/>
          </w:tcPr>
          <w:p w14:paraId="6753C6D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-0.089</w:t>
            </w:r>
          </w:p>
        </w:tc>
      </w:tr>
      <w:tr w:rsidR="00E850E2" w:rsidRPr="008A3160" w14:paraId="51732230" w14:textId="77777777" w:rsidTr="00217E39">
        <w:trPr>
          <w:trHeight w:val="20"/>
        </w:trPr>
        <w:tc>
          <w:tcPr>
            <w:tcW w:w="0" w:type="auto"/>
            <w:tcBorders>
              <w:top w:val="nil"/>
              <w:left w:val="nil"/>
              <w:bottom w:val="nil"/>
              <w:right w:val="nil"/>
            </w:tcBorders>
            <w:vAlign w:val="center"/>
            <w:hideMark/>
          </w:tcPr>
          <w:p w14:paraId="035236B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040AA09E"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6C08A78"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38CE97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(0.345)</w:t>
            </w:r>
          </w:p>
        </w:tc>
        <w:tc>
          <w:tcPr>
            <w:tcW w:w="0" w:type="auto"/>
            <w:tcBorders>
              <w:top w:val="nil"/>
              <w:left w:val="nil"/>
              <w:bottom w:val="nil"/>
              <w:right w:val="nil"/>
            </w:tcBorders>
            <w:vAlign w:val="center"/>
            <w:hideMark/>
          </w:tcPr>
          <w:p w14:paraId="0FE6590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(0.251)</w:t>
            </w:r>
          </w:p>
        </w:tc>
        <w:tc>
          <w:tcPr>
            <w:tcW w:w="0" w:type="auto"/>
            <w:tcBorders>
              <w:top w:val="nil"/>
              <w:left w:val="nil"/>
              <w:bottom w:val="nil"/>
              <w:right w:val="nil"/>
            </w:tcBorders>
            <w:vAlign w:val="center"/>
            <w:hideMark/>
          </w:tcPr>
          <w:p w14:paraId="12F2E5C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(0.249)</w:t>
            </w:r>
          </w:p>
        </w:tc>
        <w:tc>
          <w:tcPr>
            <w:tcW w:w="0" w:type="auto"/>
            <w:tcBorders>
              <w:top w:val="nil"/>
              <w:left w:val="nil"/>
              <w:bottom w:val="nil"/>
              <w:right w:val="nil"/>
            </w:tcBorders>
            <w:vAlign w:val="center"/>
            <w:hideMark/>
          </w:tcPr>
          <w:p w14:paraId="0B658A3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(0.342)</w:t>
            </w:r>
          </w:p>
        </w:tc>
      </w:tr>
      <w:tr w:rsidR="00E850E2" w:rsidRPr="008A3160" w14:paraId="16A84C00" w14:textId="77777777" w:rsidTr="00217E39">
        <w:trPr>
          <w:trHeight w:val="20"/>
        </w:trPr>
        <w:tc>
          <w:tcPr>
            <w:tcW w:w="0" w:type="auto"/>
            <w:tcBorders>
              <w:top w:val="nil"/>
              <w:left w:val="nil"/>
              <w:bottom w:val="nil"/>
              <w:right w:val="nil"/>
            </w:tcBorders>
            <w:vAlign w:val="center"/>
            <w:hideMark/>
          </w:tcPr>
          <w:p w14:paraId="48F3619B"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Tagrtrade</w:t>
            </w:r>
            <w:proofErr w:type="spellEnd"/>
          </w:p>
        </w:tc>
        <w:tc>
          <w:tcPr>
            <w:tcW w:w="0" w:type="auto"/>
            <w:tcBorders>
              <w:top w:val="nil"/>
              <w:left w:val="nil"/>
              <w:bottom w:val="nil"/>
              <w:right w:val="nil"/>
            </w:tcBorders>
            <w:vAlign w:val="center"/>
            <w:hideMark/>
          </w:tcPr>
          <w:p w14:paraId="3BF44CCD"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263337FB"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15F7540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xml:space="preserve"> -1.960***</w:t>
            </w:r>
          </w:p>
        </w:tc>
        <w:tc>
          <w:tcPr>
            <w:tcW w:w="0" w:type="auto"/>
            <w:tcBorders>
              <w:top w:val="nil"/>
              <w:left w:val="nil"/>
              <w:bottom w:val="nil"/>
              <w:right w:val="nil"/>
            </w:tcBorders>
            <w:vAlign w:val="center"/>
            <w:hideMark/>
          </w:tcPr>
          <w:p w14:paraId="4C60559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xml:space="preserve"> -0.73***</w:t>
            </w:r>
          </w:p>
        </w:tc>
        <w:tc>
          <w:tcPr>
            <w:tcW w:w="0" w:type="auto"/>
            <w:tcBorders>
              <w:top w:val="nil"/>
              <w:left w:val="nil"/>
              <w:bottom w:val="nil"/>
              <w:right w:val="nil"/>
            </w:tcBorders>
            <w:vAlign w:val="center"/>
            <w:hideMark/>
          </w:tcPr>
          <w:p w14:paraId="26C00D5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xml:space="preserve"> -0.730***</w:t>
            </w:r>
          </w:p>
        </w:tc>
        <w:tc>
          <w:tcPr>
            <w:tcW w:w="0" w:type="auto"/>
            <w:tcBorders>
              <w:top w:val="nil"/>
              <w:left w:val="nil"/>
              <w:bottom w:val="nil"/>
              <w:right w:val="nil"/>
            </w:tcBorders>
            <w:vAlign w:val="center"/>
            <w:hideMark/>
          </w:tcPr>
          <w:p w14:paraId="30CBD49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xml:space="preserve"> -2.022***</w:t>
            </w:r>
          </w:p>
        </w:tc>
      </w:tr>
      <w:tr w:rsidR="00E850E2" w:rsidRPr="008A3160" w14:paraId="5C75306B" w14:textId="77777777" w:rsidTr="00217E39">
        <w:trPr>
          <w:trHeight w:val="20"/>
        </w:trPr>
        <w:tc>
          <w:tcPr>
            <w:tcW w:w="0" w:type="auto"/>
            <w:tcBorders>
              <w:top w:val="nil"/>
              <w:left w:val="nil"/>
              <w:bottom w:val="nil"/>
              <w:right w:val="nil"/>
            </w:tcBorders>
            <w:vAlign w:val="center"/>
            <w:hideMark/>
          </w:tcPr>
          <w:p w14:paraId="517861F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1253CD0D"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33EE30A8"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53CD7B1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(0.204)</w:t>
            </w:r>
          </w:p>
        </w:tc>
        <w:tc>
          <w:tcPr>
            <w:tcW w:w="0" w:type="auto"/>
            <w:tcBorders>
              <w:top w:val="nil"/>
              <w:left w:val="nil"/>
              <w:bottom w:val="nil"/>
              <w:right w:val="nil"/>
            </w:tcBorders>
            <w:vAlign w:val="center"/>
            <w:hideMark/>
          </w:tcPr>
          <w:p w14:paraId="0CF7137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(0.151)</w:t>
            </w:r>
          </w:p>
        </w:tc>
        <w:tc>
          <w:tcPr>
            <w:tcW w:w="0" w:type="auto"/>
            <w:tcBorders>
              <w:top w:val="nil"/>
              <w:left w:val="nil"/>
              <w:bottom w:val="nil"/>
              <w:right w:val="nil"/>
            </w:tcBorders>
            <w:vAlign w:val="center"/>
            <w:hideMark/>
          </w:tcPr>
          <w:p w14:paraId="7DB1AED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(0.15)</w:t>
            </w:r>
          </w:p>
        </w:tc>
        <w:tc>
          <w:tcPr>
            <w:tcW w:w="0" w:type="auto"/>
            <w:tcBorders>
              <w:top w:val="nil"/>
              <w:left w:val="nil"/>
              <w:bottom w:val="nil"/>
              <w:right w:val="nil"/>
            </w:tcBorders>
            <w:vAlign w:val="center"/>
            <w:hideMark/>
          </w:tcPr>
          <w:p w14:paraId="248D515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(0.203)</w:t>
            </w:r>
          </w:p>
        </w:tc>
      </w:tr>
      <w:tr w:rsidR="00E850E2" w:rsidRPr="008A3160" w14:paraId="5B0AFD44" w14:textId="77777777" w:rsidTr="00217E39">
        <w:trPr>
          <w:trHeight w:val="20"/>
        </w:trPr>
        <w:tc>
          <w:tcPr>
            <w:tcW w:w="0" w:type="auto"/>
            <w:tcBorders>
              <w:top w:val="nil"/>
              <w:left w:val="nil"/>
              <w:bottom w:val="nil"/>
              <w:right w:val="nil"/>
            </w:tcBorders>
            <w:vAlign w:val="center"/>
            <w:hideMark/>
          </w:tcPr>
          <w:p w14:paraId="16CF6838"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EPIscore</w:t>
            </w:r>
            <w:proofErr w:type="spellEnd"/>
          </w:p>
        </w:tc>
        <w:tc>
          <w:tcPr>
            <w:tcW w:w="0" w:type="auto"/>
            <w:tcBorders>
              <w:top w:val="nil"/>
              <w:left w:val="nil"/>
              <w:bottom w:val="nil"/>
              <w:right w:val="nil"/>
            </w:tcBorders>
            <w:vAlign w:val="center"/>
            <w:hideMark/>
          </w:tcPr>
          <w:p w14:paraId="2DDDDCAD"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33679265"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767F35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1.099***</w:t>
            </w:r>
          </w:p>
        </w:tc>
        <w:tc>
          <w:tcPr>
            <w:tcW w:w="0" w:type="auto"/>
            <w:tcBorders>
              <w:top w:val="nil"/>
              <w:left w:val="nil"/>
              <w:bottom w:val="nil"/>
              <w:right w:val="nil"/>
            </w:tcBorders>
            <w:vAlign w:val="center"/>
            <w:hideMark/>
          </w:tcPr>
          <w:p w14:paraId="59EF822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0.440***</w:t>
            </w:r>
          </w:p>
        </w:tc>
        <w:tc>
          <w:tcPr>
            <w:tcW w:w="0" w:type="auto"/>
            <w:tcBorders>
              <w:top w:val="nil"/>
              <w:left w:val="nil"/>
              <w:bottom w:val="nil"/>
              <w:right w:val="nil"/>
            </w:tcBorders>
            <w:vAlign w:val="center"/>
            <w:hideMark/>
          </w:tcPr>
          <w:p w14:paraId="546231A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0.490***</w:t>
            </w:r>
          </w:p>
        </w:tc>
        <w:tc>
          <w:tcPr>
            <w:tcW w:w="0" w:type="auto"/>
            <w:tcBorders>
              <w:top w:val="nil"/>
              <w:left w:val="nil"/>
              <w:bottom w:val="nil"/>
              <w:right w:val="nil"/>
            </w:tcBorders>
            <w:vAlign w:val="center"/>
            <w:hideMark/>
          </w:tcPr>
          <w:p w14:paraId="5617685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1.212***</w:t>
            </w:r>
          </w:p>
        </w:tc>
      </w:tr>
      <w:tr w:rsidR="00E850E2" w:rsidRPr="008A3160" w14:paraId="46960BC9" w14:textId="77777777" w:rsidTr="00217E39">
        <w:trPr>
          <w:trHeight w:val="20"/>
        </w:trPr>
        <w:tc>
          <w:tcPr>
            <w:tcW w:w="0" w:type="auto"/>
            <w:tcBorders>
              <w:top w:val="nil"/>
              <w:left w:val="nil"/>
              <w:bottom w:val="single" w:sz="12" w:space="0" w:color="auto"/>
              <w:right w:val="nil"/>
            </w:tcBorders>
            <w:vAlign w:val="center"/>
            <w:hideMark/>
          </w:tcPr>
          <w:p w14:paraId="4FA2F8D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w:t>
            </w:r>
          </w:p>
        </w:tc>
        <w:tc>
          <w:tcPr>
            <w:tcW w:w="0" w:type="auto"/>
            <w:gridSpan w:val="2"/>
            <w:tcBorders>
              <w:top w:val="nil"/>
              <w:left w:val="nil"/>
              <w:bottom w:val="single" w:sz="12" w:space="0" w:color="auto"/>
              <w:right w:val="nil"/>
            </w:tcBorders>
            <w:vAlign w:val="center"/>
            <w:hideMark/>
          </w:tcPr>
          <w:p w14:paraId="3A3203FD" w14:textId="77777777" w:rsidR="00E850E2" w:rsidRPr="008A3160" w:rsidRDefault="00E850E2" w:rsidP="00217E39">
            <w:pPr>
              <w:rPr>
                <w:rFonts w:ascii="Times New Roman" w:eastAsia="Times New Roman" w:hAnsi="Times New Roman" w:cs="Times New Roman"/>
                <w:b/>
                <w:bCs/>
                <w:i/>
                <w:iCs/>
                <w:color w:val="000000"/>
                <w:kern w:val="0"/>
                <w:lang w:val="it-IT" w:eastAsia="it-IT"/>
                <w14:ligatures w14:val="none"/>
              </w:rPr>
            </w:pPr>
            <w:r w:rsidRPr="008A3160">
              <w:rPr>
                <w:rFonts w:ascii="Times New Roman" w:eastAsia="Times New Roman" w:hAnsi="Times New Roman" w:cs="Times New Roman"/>
                <w:b/>
                <w:bCs/>
                <w:i/>
                <w:iCs/>
                <w:color w:val="000000"/>
                <w:kern w:val="0"/>
                <w:lang w:val="it-IT" w:eastAsia="it-IT"/>
                <w14:ligatures w14:val="none"/>
              </w:rPr>
              <w:t> </w:t>
            </w:r>
          </w:p>
        </w:tc>
        <w:tc>
          <w:tcPr>
            <w:tcW w:w="0" w:type="auto"/>
            <w:tcBorders>
              <w:top w:val="nil"/>
              <w:left w:val="nil"/>
              <w:bottom w:val="single" w:sz="12" w:space="0" w:color="auto"/>
              <w:right w:val="nil"/>
            </w:tcBorders>
            <w:vAlign w:val="center"/>
            <w:hideMark/>
          </w:tcPr>
          <w:p w14:paraId="2BCFC24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(0.131)</w:t>
            </w:r>
          </w:p>
        </w:tc>
        <w:tc>
          <w:tcPr>
            <w:tcW w:w="0" w:type="auto"/>
            <w:tcBorders>
              <w:top w:val="nil"/>
              <w:left w:val="nil"/>
              <w:bottom w:val="single" w:sz="12" w:space="0" w:color="auto"/>
              <w:right w:val="nil"/>
            </w:tcBorders>
            <w:vAlign w:val="center"/>
            <w:hideMark/>
          </w:tcPr>
          <w:p w14:paraId="5C5BD3B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(0.096)</w:t>
            </w:r>
          </w:p>
        </w:tc>
        <w:tc>
          <w:tcPr>
            <w:tcW w:w="0" w:type="auto"/>
            <w:tcBorders>
              <w:top w:val="nil"/>
              <w:left w:val="nil"/>
              <w:bottom w:val="single" w:sz="12" w:space="0" w:color="auto"/>
              <w:right w:val="nil"/>
            </w:tcBorders>
            <w:vAlign w:val="center"/>
            <w:hideMark/>
          </w:tcPr>
          <w:p w14:paraId="49D5CB6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(0.095)</w:t>
            </w:r>
          </w:p>
        </w:tc>
        <w:tc>
          <w:tcPr>
            <w:tcW w:w="0" w:type="auto"/>
            <w:tcBorders>
              <w:top w:val="nil"/>
              <w:left w:val="nil"/>
              <w:bottom w:val="single" w:sz="12" w:space="0" w:color="auto"/>
              <w:right w:val="nil"/>
            </w:tcBorders>
            <w:vAlign w:val="center"/>
            <w:hideMark/>
          </w:tcPr>
          <w:p w14:paraId="29E80F0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(0.131)</w:t>
            </w:r>
          </w:p>
        </w:tc>
      </w:tr>
      <w:tr w:rsidR="00E850E2" w:rsidRPr="008A3160" w14:paraId="5E79F7B0" w14:textId="77777777" w:rsidTr="00217E39">
        <w:trPr>
          <w:trHeight w:val="20"/>
        </w:trPr>
        <w:tc>
          <w:tcPr>
            <w:tcW w:w="0" w:type="auto"/>
            <w:tcBorders>
              <w:top w:val="nil"/>
              <w:left w:val="nil"/>
              <w:bottom w:val="single" w:sz="12" w:space="0" w:color="auto"/>
              <w:right w:val="nil"/>
            </w:tcBorders>
            <w:vAlign w:val="center"/>
            <w:hideMark/>
          </w:tcPr>
          <w:p w14:paraId="054F025A"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Pesaran</w:t>
            </w:r>
            <w:proofErr w:type="spellEnd"/>
            <w:r w:rsidRPr="008A3160">
              <w:rPr>
                <w:rFonts w:ascii="Times New Roman" w:eastAsia="Times New Roman" w:hAnsi="Times New Roman" w:cs="Times New Roman"/>
                <w:i/>
                <w:iCs/>
                <w:color w:val="000000"/>
                <w:kern w:val="0"/>
                <w:lang w:val="it-IT" w:eastAsia="it-IT"/>
                <w14:ligatures w14:val="none"/>
              </w:rPr>
              <w:t xml:space="preserve"> CD test</w:t>
            </w:r>
          </w:p>
        </w:tc>
        <w:tc>
          <w:tcPr>
            <w:tcW w:w="0" w:type="auto"/>
            <w:tcBorders>
              <w:top w:val="nil"/>
              <w:left w:val="nil"/>
              <w:bottom w:val="single" w:sz="12" w:space="0" w:color="auto"/>
              <w:right w:val="nil"/>
            </w:tcBorders>
            <w:vAlign w:val="center"/>
            <w:hideMark/>
          </w:tcPr>
          <w:p w14:paraId="4319F27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-1.004</w:t>
            </w:r>
          </w:p>
        </w:tc>
        <w:tc>
          <w:tcPr>
            <w:tcW w:w="0" w:type="auto"/>
            <w:tcBorders>
              <w:top w:val="nil"/>
              <w:left w:val="nil"/>
              <w:bottom w:val="single" w:sz="12" w:space="0" w:color="auto"/>
              <w:right w:val="nil"/>
            </w:tcBorders>
            <w:vAlign w:val="center"/>
            <w:hideMark/>
          </w:tcPr>
          <w:p w14:paraId="55787D4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-1.163</w:t>
            </w:r>
          </w:p>
        </w:tc>
        <w:tc>
          <w:tcPr>
            <w:tcW w:w="0" w:type="auto"/>
            <w:tcBorders>
              <w:top w:val="nil"/>
              <w:left w:val="nil"/>
              <w:bottom w:val="single" w:sz="12" w:space="0" w:color="auto"/>
              <w:right w:val="nil"/>
            </w:tcBorders>
            <w:vAlign w:val="center"/>
            <w:hideMark/>
          </w:tcPr>
          <w:p w14:paraId="0A6BCF4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-0.599</w:t>
            </w:r>
          </w:p>
        </w:tc>
        <w:tc>
          <w:tcPr>
            <w:tcW w:w="0" w:type="auto"/>
            <w:tcBorders>
              <w:top w:val="nil"/>
              <w:left w:val="nil"/>
              <w:bottom w:val="single" w:sz="12" w:space="0" w:color="auto"/>
              <w:right w:val="nil"/>
            </w:tcBorders>
            <w:vAlign w:val="center"/>
            <w:hideMark/>
          </w:tcPr>
          <w:p w14:paraId="64FBF4F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-0.402</w:t>
            </w:r>
          </w:p>
        </w:tc>
        <w:tc>
          <w:tcPr>
            <w:tcW w:w="0" w:type="auto"/>
            <w:tcBorders>
              <w:top w:val="nil"/>
              <w:left w:val="nil"/>
              <w:bottom w:val="single" w:sz="12" w:space="0" w:color="auto"/>
              <w:right w:val="nil"/>
            </w:tcBorders>
            <w:vAlign w:val="center"/>
            <w:hideMark/>
          </w:tcPr>
          <w:p w14:paraId="30F1929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-0.469</w:t>
            </w:r>
          </w:p>
        </w:tc>
        <w:tc>
          <w:tcPr>
            <w:tcW w:w="0" w:type="auto"/>
            <w:tcBorders>
              <w:top w:val="nil"/>
              <w:left w:val="nil"/>
              <w:bottom w:val="single" w:sz="12" w:space="0" w:color="auto"/>
              <w:right w:val="nil"/>
            </w:tcBorders>
            <w:vAlign w:val="center"/>
            <w:hideMark/>
          </w:tcPr>
          <w:p w14:paraId="3E91125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1.03</w:t>
            </w:r>
          </w:p>
        </w:tc>
      </w:tr>
      <w:tr w:rsidR="00E850E2" w:rsidRPr="008A3160" w14:paraId="2B2D5C01" w14:textId="77777777" w:rsidTr="00217E39">
        <w:trPr>
          <w:trHeight w:val="20"/>
        </w:trPr>
        <w:tc>
          <w:tcPr>
            <w:tcW w:w="0" w:type="auto"/>
            <w:tcBorders>
              <w:top w:val="nil"/>
              <w:left w:val="nil"/>
              <w:bottom w:val="single" w:sz="12" w:space="0" w:color="auto"/>
              <w:right w:val="nil"/>
            </w:tcBorders>
            <w:vAlign w:val="center"/>
            <w:hideMark/>
          </w:tcPr>
          <w:p w14:paraId="081FF17C"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 xml:space="preserve">LM test </w:t>
            </w:r>
          </w:p>
        </w:tc>
        <w:tc>
          <w:tcPr>
            <w:tcW w:w="0" w:type="auto"/>
            <w:tcBorders>
              <w:top w:val="nil"/>
              <w:left w:val="nil"/>
              <w:bottom w:val="single" w:sz="12" w:space="0" w:color="auto"/>
              <w:right w:val="nil"/>
            </w:tcBorders>
            <w:vAlign w:val="center"/>
            <w:hideMark/>
          </w:tcPr>
          <w:p w14:paraId="4C7FCDA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5.932</w:t>
            </w:r>
          </w:p>
        </w:tc>
        <w:tc>
          <w:tcPr>
            <w:tcW w:w="0" w:type="auto"/>
            <w:tcBorders>
              <w:top w:val="nil"/>
              <w:left w:val="nil"/>
              <w:bottom w:val="single" w:sz="12" w:space="0" w:color="auto"/>
              <w:right w:val="nil"/>
            </w:tcBorders>
            <w:vAlign w:val="center"/>
            <w:hideMark/>
          </w:tcPr>
          <w:p w14:paraId="5E0174E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4.507</w:t>
            </w:r>
          </w:p>
        </w:tc>
        <w:tc>
          <w:tcPr>
            <w:tcW w:w="0" w:type="auto"/>
            <w:tcBorders>
              <w:top w:val="nil"/>
              <w:left w:val="nil"/>
              <w:bottom w:val="single" w:sz="12" w:space="0" w:color="auto"/>
              <w:right w:val="nil"/>
            </w:tcBorders>
            <w:vAlign w:val="center"/>
            <w:hideMark/>
          </w:tcPr>
          <w:p w14:paraId="78EFB29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2.144</w:t>
            </w:r>
          </w:p>
        </w:tc>
        <w:tc>
          <w:tcPr>
            <w:tcW w:w="0" w:type="auto"/>
            <w:tcBorders>
              <w:top w:val="nil"/>
              <w:left w:val="nil"/>
              <w:bottom w:val="single" w:sz="12" w:space="0" w:color="auto"/>
              <w:right w:val="nil"/>
            </w:tcBorders>
            <w:vAlign w:val="center"/>
            <w:hideMark/>
          </w:tcPr>
          <w:p w14:paraId="1EA231E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0.817</w:t>
            </w:r>
          </w:p>
        </w:tc>
        <w:tc>
          <w:tcPr>
            <w:tcW w:w="0" w:type="auto"/>
            <w:tcBorders>
              <w:top w:val="nil"/>
              <w:left w:val="nil"/>
              <w:bottom w:val="single" w:sz="12" w:space="0" w:color="auto"/>
              <w:right w:val="nil"/>
            </w:tcBorders>
            <w:vAlign w:val="center"/>
            <w:hideMark/>
          </w:tcPr>
          <w:p w14:paraId="4F62356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0.756</w:t>
            </w:r>
          </w:p>
        </w:tc>
        <w:tc>
          <w:tcPr>
            <w:tcW w:w="0" w:type="auto"/>
            <w:tcBorders>
              <w:top w:val="nil"/>
              <w:left w:val="nil"/>
              <w:bottom w:val="single" w:sz="12" w:space="0" w:color="auto"/>
              <w:right w:val="nil"/>
            </w:tcBorders>
            <w:vAlign w:val="center"/>
            <w:hideMark/>
          </w:tcPr>
          <w:p w14:paraId="05A878C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10.499</w:t>
            </w:r>
          </w:p>
        </w:tc>
      </w:tr>
      <w:tr w:rsidR="00E850E2" w:rsidRPr="008A3160" w14:paraId="193D6423" w14:textId="77777777" w:rsidTr="00217E39">
        <w:trPr>
          <w:trHeight w:val="20"/>
        </w:trPr>
        <w:tc>
          <w:tcPr>
            <w:tcW w:w="0" w:type="auto"/>
            <w:tcBorders>
              <w:top w:val="nil"/>
              <w:left w:val="nil"/>
              <w:bottom w:val="single" w:sz="12" w:space="0" w:color="auto"/>
              <w:right w:val="nil"/>
            </w:tcBorders>
            <w:vAlign w:val="center"/>
            <w:hideMark/>
          </w:tcPr>
          <w:p w14:paraId="062F6EAE"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N</w:t>
            </w:r>
          </w:p>
        </w:tc>
        <w:tc>
          <w:tcPr>
            <w:tcW w:w="0" w:type="auto"/>
            <w:tcBorders>
              <w:top w:val="nil"/>
              <w:left w:val="nil"/>
              <w:bottom w:val="single" w:sz="12" w:space="0" w:color="auto"/>
              <w:right w:val="nil"/>
            </w:tcBorders>
            <w:vAlign w:val="center"/>
            <w:hideMark/>
          </w:tcPr>
          <w:p w14:paraId="64B5B44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c>
          <w:tcPr>
            <w:tcW w:w="0" w:type="auto"/>
            <w:tcBorders>
              <w:top w:val="nil"/>
              <w:left w:val="nil"/>
              <w:bottom w:val="single" w:sz="12" w:space="0" w:color="auto"/>
              <w:right w:val="nil"/>
            </w:tcBorders>
            <w:vAlign w:val="center"/>
            <w:hideMark/>
          </w:tcPr>
          <w:p w14:paraId="29D28C1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c>
          <w:tcPr>
            <w:tcW w:w="0" w:type="auto"/>
            <w:tcBorders>
              <w:top w:val="nil"/>
              <w:left w:val="nil"/>
              <w:bottom w:val="single" w:sz="12" w:space="0" w:color="auto"/>
              <w:right w:val="nil"/>
            </w:tcBorders>
            <w:vAlign w:val="center"/>
            <w:hideMark/>
          </w:tcPr>
          <w:p w14:paraId="0D554F4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c>
          <w:tcPr>
            <w:tcW w:w="0" w:type="auto"/>
            <w:tcBorders>
              <w:top w:val="nil"/>
              <w:left w:val="nil"/>
              <w:bottom w:val="single" w:sz="12" w:space="0" w:color="auto"/>
              <w:right w:val="nil"/>
            </w:tcBorders>
            <w:vAlign w:val="center"/>
            <w:hideMark/>
          </w:tcPr>
          <w:p w14:paraId="1CD0545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c>
          <w:tcPr>
            <w:tcW w:w="0" w:type="auto"/>
            <w:tcBorders>
              <w:top w:val="nil"/>
              <w:left w:val="nil"/>
              <w:bottom w:val="single" w:sz="12" w:space="0" w:color="auto"/>
              <w:right w:val="nil"/>
            </w:tcBorders>
            <w:vAlign w:val="center"/>
            <w:hideMark/>
          </w:tcPr>
          <w:p w14:paraId="7F3FF10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c>
          <w:tcPr>
            <w:tcW w:w="0" w:type="auto"/>
            <w:tcBorders>
              <w:top w:val="nil"/>
              <w:left w:val="nil"/>
              <w:bottom w:val="single" w:sz="12" w:space="0" w:color="auto"/>
              <w:right w:val="nil"/>
            </w:tcBorders>
            <w:vAlign w:val="center"/>
            <w:hideMark/>
          </w:tcPr>
          <w:p w14:paraId="530F9E6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r>
      <w:tr w:rsidR="00E850E2" w:rsidRPr="008A3160" w14:paraId="290598E4" w14:textId="77777777" w:rsidTr="00217E39">
        <w:trPr>
          <w:trHeight w:val="20"/>
        </w:trPr>
        <w:tc>
          <w:tcPr>
            <w:tcW w:w="0" w:type="auto"/>
            <w:tcBorders>
              <w:top w:val="nil"/>
              <w:left w:val="nil"/>
              <w:bottom w:val="single" w:sz="12" w:space="0" w:color="auto"/>
              <w:right w:val="nil"/>
            </w:tcBorders>
            <w:vAlign w:val="center"/>
            <w:hideMark/>
          </w:tcPr>
          <w:p w14:paraId="63375074"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Instrumental</w:t>
            </w:r>
            <w:proofErr w:type="spellEnd"/>
            <w:r w:rsidRPr="008A3160">
              <w:rPr>
                <w:rFonts w:ascii="Times New Roman" w:eastAsia="Times New Roman" w:hAnsi="Times New Roman" w:cs="Times New Roman"/>
                <w:i/>
                <w:iCs/>
                <w:color w:val="000000"/>
                <w:kern w:val="0"/>
                <w:lang w:val="it-IT" w:eastAsia="it-IT"/>
                <w14:ligatures w14:val="none"/>
              </w:rPr>
              <w:t xml:space="preserve"> lags</w:t>
            </w:r>
          </w:p>
        </w:tc>
        <w:tc>
          <w:tcPr>
            <w:tcW w:w="0" w:type="auto"/>
            <w:tcBorders>
              <w:top w:val="nil"/>
              <w:left w:val="nil"/>
              <w:bottom w:val="single" w:sz="12" w:space="0" w:color="auto"/>
              <w:right w:val="nil"/>
            </w:tcBorders>
            <w:vAlign w:val="center"/>
            <w:hideMark/>
          </w:tcPr>
          <w:p w14:paraId="5C1665C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12" w:space="0" w:color="auto"/>
              <w:right w:val="nil"/>
            </w:tcBorders>
            <w:vAlign w:val="center"/>
            <w:hideMark/>
          </w:tcPr>
          <w:p w14:paraId="624A815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12" w:space="0" w:color="auto"/>
              <w:right w:val="nil"/>
            </w:tcBorders>
            <w:vAlign w:val="center"/>
            <w:hideMark/>
          </w:tcPr>
          <w:p w14:paraId="5F51CE5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12" w:space="0" w:color="auto"/>
              <w:right w:val="nil"/>
            </w:tcBorders>
            <w:vAlign w:val="center"/>
            <w:hideMark/>
          </w:tcPr>
          <w:p w14:paraId="6065954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12" w:space="0" w:color="auto"/>
              <w:right w:val="nil"/>
            </w:tcBorders>
            <w:vAlign w:val="center"/>
            <w:hideMark/>
          </w:tcPr>
          <w:p w14:paraId="341BBA8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12" w:space="0" w:color="auto"/>
              <w:right w:val="nil"/>
            </w:tcBorders>
            <w:vAlign w:val="center"/>
            <w:hideMark/>
          </w:tcPr>
          <w:p w14:paraId="26D0883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r>
    </w:tbl>
    <w:p w14:paraId="56C73B8B" w14:textId="77777777" w:rsidR="00E850E2" w:rsidRDefault="00E850E2" w:rsidP="00E850E2">
      <w:pPr>
        <w:rPr>
          <w:rFonts w:ascii="Times New Roman" w:hAnsi="Times New Roman" w:cs="Times New Roman"/>
          <w:b/>
          <w:bCs/>
          <w:kern w:val="0"/>
          <w:lang w:val="en-GB"/>
        </w:rPr>
        <w:sectPr w:rsidR="00E850E2" w:rsidSect="00E850E2">
          <w:pgSz w:w="11900" w:h="16840"/>
          <w:pgMar w:top="1134" w:right="1417" w:bottom="802" w:left="1134" w:header="708" w:footer="708" w:gutter="0"/>
          <w:cols w:space="708"/>
          <w:docGrid w:linePitch="360"/>
        </w:sectPr>
      </w:pPr>
      <w:r w:rsidRPr="001E45E1">
        <w:rPr>
          <w:rFonts w:ascii="Times New Roman" w:hAnsi="Times New Roman" w:cs="Times New Roman"/>
          <w:i/>
          <w:iCs/>
          <w:color w:val="000000"/>
          <w:kern w:val="0"/>
          <w:sz w:val="18"/>
          <w:szCs w:val="18"/>
          <w:lang w:val="en-GB"/>
          <w14:ligatures w14:val="none"/>
        </w:rPr>
        <w:t xml:space="preserve">Notes: </w:t>
      </w:r>
      <w:r w:rsidRPr="00891442">
        <w:rPr>
          <w:rFonts w:ascii="Times New Roman" w:hAnsi="Times New Roman" w:cs="Times New Roman"/>
          <w:i/>
          <w:iCs/>
          <w:color w:val="000000"/>
          <w:kern w:val="0"/>
          <w:sz w:val="18"/>
          <w:szCs w:val="18"/>
          <w:lang w:val="en-GB"/>
          <w14:ligatures w14:val="none"/>
        </w:rPr>
        <w:t xml:space="preserve">Dependent variable: </w:t>
      </w:r>
      <w:proofErr w:type="spellStart"/>
      <w:r w:rsidRPr="00891442">
        <w:rPr>
          <w:rFonts w:ascii="Times New Roman" w:hAnsi="Times New Roman" w:cs="Times New Roman"/>
          <w:i/>
          <w:iCs/>
          <w:color w:val="000000"/>
          <w:kern w:val="0"/>
          <w:sz w:val="18"/>
          <w:szCs w:val="18"/>
          <w:lang w:val="en-GB"/>
          <w14:ligatures w14:val="none"/>
        </w:rPr>
        <w:t>envTBT</w:t>
      </w:r>
      <w:proofErr w:type="spellEnd"/>
      <w:r w:rsidRPr="00891442">
        <w:rPr>
          <w:rFonts w:ascii="Times New Roman" w:hAnsi="Times New Roman" w:cs="Times New Roman"/>
          <w:i/>
          <w:iCs/>
          <w:color w:val="000000"/>
          <w:kern w:val="0"/>
          <w:sz w:val="18"/>
          <w:szCs w:val="18"/>
          <w:lang w:val="en-GB"/>
          <w14:ligatures w14:val="none"/>
        </w:rPr>
        <w:t xml:space="preserve">. Variable definitions as in Table 1. λ: spatial autoregressive coefficient on </w:t>
      </w:r>
      <w:proofErr w:type="spellStart"/>
      <w:r w:rsidRPr="00891442">
        <w:rPr>
          <w:rFonts w:ascii="Times New Roman" w:hAnsi="Times New Roman" w:cs="Times New Roman"/>
          <w:i/>
          <w:iCs/>
          <w:color w:val="000000"/>
          <w:kern w:val="0"/>
          <w:sz w:val="18"/>
          <w:szCs w:val="18"/>
          <w:lang w:val="en-GB"/>
          <w14:ligatures w14:val="none"/>
        </w:rPr>
        <w:t>W·envTBT</w:t>
      </w:r>
      <w:proofErr w:type="spellEnd"/>
      <w:r w:rsidRPr="00891442">
        <w:rPr>
          <w:rFonts w:ascii="Times New Roman" w:hAnsi="Times New Roman" w:cs="Times New Roman"/>
          <w:i/>
          <w:iCs/>
          <w:color w:val="000000"/>
          <w:kern w:val="0"/>
          <w:sz w:val="18"/>
          <w:szCs w:val="18"/>
          <w:lang w:val="en-GB"/>
          <w14:ligatures w14:val="none"/>
        </w:rPr>
        <w:t xml:space="preserve">. envTBTt−1: one-period lag of the dependent variable. W·envTBTt−1: spatially lagged one-period lag of the dependent variable. W is a row-standardized binary proximity matrix. All specifications estimated by spatial two-stage least squares within estimator. RTA </w:t>
      </w:r>
      <w:proofErr w:type="spellStart"/>
      <w:r w:rsidRPr="00891442">
        <w:rPr>
          <w:rFonts w:ascii="Times New Roman" w:hAnsi="Times New Roman" w:cs="Times New Roman"/>
          <w:i/>
          <w:iCs/>
          <w:color w:val="000000"/>
          <w:kern w:val="0"/>
          <w:sz w:val="18"/>
          <w:szCs w:val="18"/>
          <w:lang w:val="en-GB"/>
          <w14:ligatures w14:val="none"/>
        </w:rPr>
        <w:t>Fert&amp;Pest</w:t>
      </w:r>
      <w:proofErr w:type="spellEnd"/>
      <w:r w:rsidRPr="00891442">
        <w:rPr>
          <w:rFonts w:ascii="Times New Roman" w:hAnsi="Times New Roman" w:cs="Times New Roman"/>
          <w:i/>
          <w:iCs/>
          <w:color w:val="000000"/>
          <w:kern w:val="0"/>
          <w:sz w:val="18"/>
          <w:szCs w:val="18"/>
          <w:lang w:val="en-GB"/>
          <w14:ligatures w14:val="none"/>
        </w:rPr>
        <w:t xml:space="preserve"> treated as endogenous and instrumented with its first lag. </w:t>
      </w:r>
      <w:r>
        <w:rPr>
          <w:rFonts w:ascii="Times New Roman" w:hAnsi="Times New Roman" w:cs="Times New Roman"/>
          <w:i/>
          <w:iCs/>
          <w:color w:val="000000"/>
          <w:kern w:val="0"/>
          <w:sz w:val="18"/>
          <w:szCs w:val="18"/>
          <w:lang w:val="en-GB"/>
          <w14:ligatures w14:val="none"/>
        </w:rPr>
        <w:t>R</w:t>
      </w:r>
      <w:r w:rsidRPr="00891442">
        <w:rPr>
          <w:rFonts w:ascii="Times New Roman" w:hAnsi="Times New Roman" w:cs="Times New Roman"/>
          <w:i/>
          <w:iCs/>
          <w:color w:val="000000"/>
          <w:kern w:val="0"/>
          <w:sz w:val="18"/>
          <w:szCs w:val="18"/>
          <w:lang w:val="en-GB"/>
          <w14:ligatures w14:val="none"/>
        </w:rPr>
        <w:t xml:space="preserve">obust standard errors in parentheses. </w:t>
      </w:r>
      <w:proofErr w:type="spellStart"/>
      <w:r w:rsidRPr="00891442">
        <w:rPr>
          <w:rFonts w:ascii="Times New Roman" w:hAnsi="Times New Roman" w:cs="Times New Roman"/>
          <w:i/>
          <w:iCs/>
          <w:color w:val="000000"/>
          <w:kern w:val="0"/>
          <w:sz w:val="18"/>
          <w:szCs w:val="18"/>
          <w:lang w:val="en-GB"/>
          <w14:ligatures w14:val="none"/>
        </w:rPr>
        <w:t>Pesaran</w:t>
      </w:r>
      <w:proofErr w:type="spellEnd"/>
      <w:r w:rsidRPr="00891442">
        <w:rPr>
          <w:rFonts w:ascii="Times New Roman" w:hAnsi="Times New Roman" w:cs="Times New Roman"/>
          <w:i/>
          <w:iCs/>
          <w:color w:val="000000"/>
          <w:kern w:val="0"/>
          <w:sz w:val="18"/>
          <w:szCs w:val="18"/>
          <w:lang w:val="en-GB"/>
          <w14:ligatures w14:val="none"/>
        </w:rPr>
        <w:t xml:space="preserve"> CD: cross-sectional dependence test. LM: </w:t>
      </w:r>
      <w:proofErr w:type="spellStart"/>
      <w:r w:rsidRPr="00891442">
        <w:rPr>
          <w:rFonts w:ascii="Times New Roman" w:hAnsi="Times New Roman" w:cs="Times New Roman"/>
          <w:i/>
          <w:iCs/>
          <w:color w:val="000000"/>
          <w:kern w:val="0"/>
          <w:sz w:val="18"/>
          <w:szCs w:val="18"/>
          <w:lang w:val="en-GB"/>
          <w14:ligatures w14:val="none"/>
        </w:rPr>
        <w:t>Baltagi</w:t>
      </w:r>
      <w:proofErr w:type="spellEnd"/>
      <w:r w:rsidRPr="00891442">
        <w:rPr>
          <w:rFonts w:ascii="Times New Roman" w:hAnsi="Times New Roman" w:cs="Times New Roman"/>
          <w:i/>
          <w:iCs/>
          <w:color w:val="000000"/>
          <w:kern w:val="0"/>
          <w:sz w:val="18"/>
          <w:szCs w:val="18"/>
          <w:lang w:val="en-GB"/>
          <w14:ligatures w14:val="none"/>
        </w:rPr>
        <w:t>, Song and Koh test for spatial error correlation. Columns (7)</w:t>
      </w:r>
      <w:proofErr w:type="gramStart"/>
      <w:r w:rsidRPr="00891442">
        <w:rPr>
          <w:rFonts w:ascii="Times New Roman" w:hAnsi="Times New Roman" w:cs="Times New Roman"/>
          <w:i/>
          <w:iCs/>
          <w:color w:val="000000"/>
          <w:kern w:val="0"/>
          <w:sz w:val="18"/>
          <w:szCs w:val="18"/>
          <w:lang w:val="en-GB"/>
          <w14:ligatures w14:val="none"/>
        </w:rPr>
        <w:t>–(</w:t>
      </w:r>
      <w:proofErr w:type="gramEnd"/>
      <w:r w:rsidRPr="00891442">
        <w:rPr>
          <w:rFonts w:ascii="Times New Roman" w:hAnsi="Times New Roman" w:cs="Times New Roman"/>
          <w:i/>
          <w:iCs/>
          <w:color w:val="000000"/>
          <w:kern w:val="0"/>
          <w:sz w:val="18"/>
          <w:szCs w:val="18"/>
          <w:lang w:val="en-GB"/>
          <w14:ligatures w14:val="none"/>
        </w:rPr>
        <w:t>9): static SAR. Column (10): dynamic SAR with temporal lag. Column (11): dynamic SAR with spatially lagged temporal lag (no contemporaneous spatial lag). Column (12): static SAR estimated on the spatial contiguity matrix. *** p&lt;0.01, ** p&lt;0.05, * p&lt;0.1.</w:t>
      </w:r>
    </w:p>
    <w:p w14:paraId="34441FBC" w14:textId="77777777" w:rsidR="00E850E2" w:rsidRPr="00663AE5" w:rsidRDefault="00E850E2" w:rsidP="00E850E2">
      <w:pPr>
        <w:autoSpaceDE w:val="0"/>
        <w:autoSpaceDN w:val="0"/>
        <w:adjustRightInd w:val="0"/>
        <w:jc w:val="both"/>
        <w:rPr>
          <w:rFonts w:ascii="Times New Roman" w:hAnsi="Times New Roman" w:cs="Times New Roman"/>
          <w:b/>
          <w:bCs/>
          <w:kern w:val="0"/>
        </w:rPr>
      </w:pPr>
    </w:p>
    <w:p w14:paraId="348239C7" w14:textId="77777777" w:rsidR="00E850E2" w:rsidRPr="008A3160" w:rsidRDefault="00E850E2" w:rsidP="00E850E2">
      <w:pPr>
        <w:keepNext/>
        <w:ind w:right="93"/>
        <w:rPr>
          <w:rFonts w:ascii="Times New Roman" w:hAnsi="Times New Roman" w:cs="Times New Roman"/>
          <w:b/>
          <w:bCs/>
          <w:kern w:val="0"/>
          <w:lang w:val="en-GB"/>
        </w:rPr>
      </w:pPr>
      <w:r w:rsidRPr="008A3160">
        <w:rPr>
          <w:rFonts w:ascii="Times New Roman" w:hAnsi="Times New Roman" w:cs="Times New Roman"/>
          <w:b/>
          <w:bCs/>
          <w:kern w:val="0"/>
          <w:lang w:val="en-GB"/>
        </w:rPr>
        <w:t xml:space="preserve">Table 4: Countries’ Heterogeneities </w:t>
      </w:r>
    </w:p>
    <w:tbl>
      <w:tblPr>
        <w:tblW w:w="0" w:type="auto"/>
        <w:tblCellMar>
          <w:left w:w="70" w:type="dxa"/>
          <w:right w:w="70" w:type="dxa"/>
        </w:tblCellMar>
        <w:tblLook w:val="04A0" w:firstRow="1" w:lastRow="0" w:firstColumn="1" w:lastColumn="0" w:noHBand="0" w:noVBand="1"/>
      </w:tblPr>
      <w:tblGrid>
        <w:gridCol w:w="1827"/>
        <w:gridCol w:w="1827"/>
        <w:gridCol w:w="1747"/>
      </w:tblGrid>
      <w:tr w:rsidR="00E850E2" w:rsidRPr="008A3160" w14:paraId="1932B9A2" w14:textId="77777777" w:rsidTr="00217E39">
        <w:trPr>
          <w:trHeight w:val="20"/>
        </w:trPr>
        <w:tc>
          <w:tcPr>
            <w:tcW w:w="0" w:type="auto"/>
            <w:tcBorders>
              <w:top w:val="single" w:sz="12" w:space="0" w:color="auto"/>
              <w:left w:val="nil"/>
              <w:bottom w:val="single" w:sz="12" w:space="0" w:color="auto"/>
              <w:right w:val="nil"/>
            </w:tcBorders>
            <w:vAlign w:val="center"/>
            <w:hideMark/>
          </w:tcPr>
          <w:p w14:paraId="02EF4FE7" w14:textId="77777777" w:rsidR="00E850E2" w:rsidRPr="008A3160" w:rsidRDefault="00E850E2" w:rsidP="00217E39">
            <w:pPr>
              <w:jc w:val="right"/>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w:t>
            </w:r>
          </w:p>
        </w:tc>
        <w:tc>
          <w:tcPr>
            <w:tcW w:w="0" w:type="auto"/>
            <w:tcBorders>
              <w:top w:val="single" w:sz="12" w:space="0" w:color="auto"/>
              <w:left w:val="nil"/>
              <w:bottom w:val="single" w:sz="12" w:space="0" w:color="auto"/>
              <w:right w:val="nil"/>
            </w:tcBorders>
            <w:vAlign w:val="center"/>
            <w:hideMark/>
          </w:tcPr>
          <w:p w14:paraId="31D904C5" w14:textId="77777777" w:rsidR="00E850E2" w:rsidRPr="008A3160" w:rsidRDefault="00E850E2" w:rsidP="00217E39">
            <w:pPr>
              <w:jc w:val="cente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(13)</w:t>
            </w:r>
          </w:p>
        </w:tc>
        <w:tc>
          <w:tcPr>
            <w:tcW w:w="0" w:type="auto"/>
            <w:tcBorders>
              <w:top w:val="single" w:sz="12" w:space="0" w:color="auto"/>
              <w:left w:val="nil"/>
              <w:bottom w:val="single" w:sz="12" w:space="0" w:color="auto"/>
              <w:right w:val="nil"/>
            </w:tcBorders>
            <w:vAlign w:val="center"/>
            <w:hideMark/>
          </w:tcPr>
          <w:p w14:paraId="6D98C7B7" w14:textId="77777777" w:rsidR="00E850E2" w:rsidRPr="008A3160" w:rsidRDefault="00E850E2" w:rsidP="00217E39">
            <w:pPr>
              <w:jc w:val="cente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(14)</w:t>
            </w:r>
          </w:p>
        </w:tc>
      </w:tr>
      <w:tr w:rsidR="00E850E2" w:rsidRPr="008A3160" w14:paraId="7FA5DD5D" w14:textId="77777777" w:rsidTr="00217E39">
        <w:trPr>
          <w:trHeight w:val="20"/>
        </w:trPr>
        <w:tc>
          <w:tcPr>
            <w:tcW w:w="0" w:type="auto"/>
            <w:tcBorders>
              <w:top w:val="nil"/>
              <w:left w:val="nil"/>
              <w:bottom w:val="single" w:sz="12" w:space="0" w:color="auto"/>
              <w:right w:val="nil"/>
            </w:tcBorders>
            <w:vAlign w:val="center"/>
            <w:hideMark/>
          </w:tcPr>
          <w:p w14:paraId="4A0842F5" w14:textId="77777777" w:rsidR="00E850E2" w:rsidRPr="008A3160" w:rsidRDefault="00E850E2" w:rsidP="00217E39">
            <w:pPr>
              <w:jc w:val="right"/>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w:t>
            </w:r>
          </w:p>
        </w:tc>
        <w:tc>
          <w:tcPr>
            <w:tcW w:w="0" w:type="auto"/>
            <w:tcBorders>
              <w:top w:val="nil"/>
              <w:left w:val="nil"/>
              <w:bottom w:val="single" w:sz="12" w:space="0" w:color="auto"/>
              <w:right w:val="nil"/>
            </w:tcBorders>
            <w:vAlign w:val="center"/>
            <w:hideMark/>
          </w:tcPr>
          <w:p w14:paraId="39FD994E" w14:textId="77777777" w:rsidR="00E850E2" w:rsidRPr="008A3160" w:rsidRDefault="00E850E2" w:rsidP="00217E39">
            <w:pPr>
              <w:jc w:val="cente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roofErr w:type="spellStart"/>
            <w:r w:rsidRPr="008A3160">
              <w:rPr>
                <w:rFonts w:ascii="Times New Roman" w:eastAsia="Times New Roman" w:hAnsi="Times New Roman" w:cs="Times New Roman"/>
                <w:b/>
                <w:bCs/>
                <w:color w:val="000000"/>
                <w:kern w:val="0"/>
                <w:lang w:val="it-IT" w:eastAsia="it-IT"/>
                <w14:ligatures w14:val="none"/>
              </w:rPr>
              <w:t>Developing</w:t>
            </w:r>
            <w:proofErr w:type="spellEnd"/>
          </w:p>
        </w:tc>
        <w:tc>
          <w:tcPr>
            <w:tcW w:w="0" w:type="auto"/>
            <w:tcBorders>
              <w:top w:val="nil"/>
              <w:left w:val="nil"/>
              <w:bottom w:val="single" w:sz="12" w:space="0" w:color="auto"/>
              <w:right w:val="nil"/>
            </w:tcBorders>
            <w:vAlign w:val="center"/>
            <w:hideMark/>
          </w:tcPr>
          <w:p w14:paraId="50EF192E" w14:textId="77777777" w:rsidR="00E850E2" w:rsidRPr="008A3160" w:rsidRDefault="00E850E2" w:rsidP="00217E39">
            <w:pPr>
              <w:jc w:val="cente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roofErr w:type="spellStart"/>
            <w:r w:rsidRPr="008A3160">
              <w:rPr>
                <w:rFonts w:ascii="Times New Roman" w:eastAsia="Times New Roman" w:hAnsi="Times New Roman" w:cs="Times New Roman"/>
                <w:b/>
                <w:bCs/>
                <w:color w:val="000000"/>
                <w:kern w:val="0"/>
                <w:lang w:val="it-IT" w:eastAsia="it-IT"/>
                <w14:ligatures w14:val="none"/>
              </w:rPr>
              <w:t>Developed</w:t>
            </w:r>
            <w:proofErr w:type="spellEnd"/>
          </w:p>
        </w:tc>
      </w:tr>
      <w:tr w:rsidR="00E850E2" w:rsidRPr="008A3160" w14:paraId="51885F0A" w14:textId="77777777" w:rsidTr="00217E39">
        <w:trPr>
          <w:trHeight w:val="20"/>
        </w:trPr>
        <w:tc>
          <w:tcPr>
            <w:tcW w:w="0" w:type="auto"/>
            <w:vMerge w:val="restart"/>
            <w:tcBorders>
              <w:top w:val="nil"/>
              <w:left w:val="nil"/>
              <w:bottom w:val="nil"/>
              <w:right w:val="nil"/>
            </w:tcBorders>
            <w:vAlign w:val="center"/>
            <w:hideMark/>
          </w:tcPr>
          <w:p w14:paraId="192A28F5"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Spatial</w:t>
            </w:r>
            <w:proofErr w:type="spellEnd"/>
            <w:r w:rsidRPr="008A3160">
              <w:rPr>
                <w:rFonts w:ascii="Times New Roman" w:eastAsia="Times New Roman" w:hAnsi="Times New Roman" w:cs="Times New Roman"/>
                <w:i/>
                <w:iCs/>
                <w:color w:val="000000"/>
                <w:kern w:val="0"/>
                <w:lang w:val="it-IT" w:eastAsia="it-IT"/>
                <w14:ligatures w14:val="none"/>
              </w:rPr>
              <w:t xml:space="preserve"> </w:t>
            </w:r>
            <w:proofErr w:type="gramStart"/>
            <w:r w:rsidRPr="008A3160">
              <w:rPr>
                <w:rFonts w:ascii="Times New Roman" w:eastAsia="Times New Roman" w:hAnsi="Times New Roman" w:cs="Times New Roman"/>
                <w:i/>
                <w:iCs/>
                <w:color w:val="000000"/>
                <w:kern w:val="0"/>
                <w:lang w:val="it-IT" w:eastAsia="it-IT"/>
                <w14:ligatures w14:val="none"/>
              </w:rPr>
              <w:t>lag(</w:t>
            </w:r>
            <w:proofErr w:type="gramEnd"/>
            <w:r w:rsidRPr="008A3160">
              <w:rPr>
                <w:rFonts w:ascii="Times New Roman" w:eastAsia="Times New Roman" w:hAnsi="Times New Roman" w:cs="Times New Roman"/>
                <w:i/>
                <w:iCs/>
                <w:color w:val="000000"/>
                <w:kern w:val="0"/>
                <w:lang w:val="it-IT" w:eastAsia="it-IT"/>
                <w14:ligatures w14:val="none"/>
              </w:rPr>
              <w:t>TBT)</w:t>
            </w:r>
          </w:p>
        </w:tc>
        <w:tc>
          <w:tcPr>
            <w:tcW w:w="0" w:type="auto"/>
            <w:tcBorders>
              <w:top w:val="nil"/>
              <w:left w:val="nil"/>
              <w:bottom w:val="nil"/>
              <w:right w:val="nil"/>
            </w:tcBorders>
            <w:vAlign w:val="center"/>
            <w:hideMark/>
          </w:tcPr>
          <w:p w14:paraId="0171EF5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0.062</w:t>
            </w:r>
          </w:p>
        </w:tc>
        <w:tc>
          <w:tcPr>
            <w:tcW w:w="0" w:type="auto"/>
            <w:tcBorders>
              <w:top w:val="nil"/>
              <w:left w:val="nil"/>
              <w:bottom w:val="nil"/>
              <w:right w:val="nil"/>
            </w:tcBorders>
            <w:vAlign w:val="center"/>
            <w:hideMark/>
          </w:tcPr>
          <w:p w14:paraId="0AF76FC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0.056**</w:t>
            </w:r>
          </w:p>
        </w:tc>
      </w:tr>
      <w:tr w:rsidR="00E850E2" w:rsidRPr="008A3160" w14:paraId="22DF4BB6" w14:textId="77777777" w:rsidTr="00217E39">
        <w:trPr>
          <w:trHeight w:val="20"/>
        </w:trPr>
        <w:tc>
          <w:tcPr>
            <w:tcW w:w="0" w:type="auto"/>
            <w:vMerge/>
            <w:tcBorders>
              <w:top w:val="nil"/>
              <w:left w:val="nil"/>
              <w:bottom w:val="nil"/>
              <w:right w:val="nil"/>
            </w:tcBorders>
            <w:vAlign w:val="center"/>
            <w:hideMark/>
          </w:tcPr>
          <w:p w14:paraId="77B2F2FC"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2720A8C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(0.106)</w:t>
            </w:r>
          </w:p>
        </w:tc>
        <w:tc>
          <w:tcPr>
            <w:tcW w:w="0" w:type="auto"/>
            <w:tcBorders>
              <w:top w:val="nil"/>
              <w:left w:val="nil"/>
              <w:bottom w:val="nil"/>
              <w:right w:val="nil"/>
            </w:tcBorders>
            <w:vAlign w:val="center"/>
            <w:hideMark/>
          </w:tcPr>
          <w:p w14:paraId="2AF8B90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(0.024)</w:t>
            </w:r>
          </w:p>
        </w:tc>
      </w:tr>
      <w:tr w:rsidR="00E850E2" w:rsidRPr="008A3160" w14:paraId="5CFCB8B5" w14:textId="77777777" w:rsidTr="00217E39">
        <w:trPr>
          <w:trHeight w:val="20"/>
        </w:trPr>
        <w:tc>
          <w:tcPr>
            <w:tcW w:w="0" w:type="auto"/>
            <w:vMerge w:val="restart"/>
            <w:tcBorders>
              <w:top w:val="nil"/>
              <w:left w:val="nil"/>
              <w:bottom w:val="nil"/>
              <w:right w:val="nil"/>
            </w:tcBorders>
            <w:vAlign w:val="center"/>
            <w:hideMark/>
          </w:tcPr>
          <w:p w14:paraId="6B685CDB"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Lag (TBT)</w:t>
            </w:r>
          </w:p>
        </w:tc>
        <w:tc>
          <w:tcPr>
            <w:tcW w:w="0" w:type="auto"/>
            <w:tcBorders>
              <w:top w:val="nil"/>
              <w:left w:val="nil"/>
              <w:bottom w:val="nil"/>
              <w:right w:val="nil"/>
            </w:tcBorders>
            <w:vAlign w:val="center"/>
            <w:hideMark/>
          </w:tcPr>
          <w:p w14:paraId="1DBF324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0.538***</w:t>
            </w:r>
          </w:p>
        </w:tc>
        <w:tc>
          <w:tcPr>
            <w:tcW w:w="0" w:type="auto"/>
            <w:tcBorders>
              <w:top w:val="nil"/>
              <w:left w:val="nil"/>
              <w:bottom w:val="nil"/>
              <w:right w:val="nil"/>
            </w:tcBorders>
            <w:vAlign w:val="center"/>
            <w:hideMark/>
          </w:tcPr>
          <w:p w14:paraId="4AF9674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0.738***</w:t>
            </w:r>
          </w:p>
        </w:tc>
      </w:tr>
      <w:tr w:rsidR="00E850E2" w:rsidRPr="008A3160" w14:paraId="6096A8A8" w14:textId="77777777" w:rsidTr="00217E39">
        <w:trPr>
          <w:trHeight w:val="20"/>
        </w:trPr>
        <w:tc>
          <w:tcPr>
            <w:tcW w:w="0" w:type="auto"/>
            <w:vMerge/>
            <w:tcBorders>
              <w:top w:val="nil"/>
              <w:left w:val="nil"/>
              <w:bottom w:val="nil"/>
              <w:right w:val="nil"/>
            </w:tcBorders>
            <w:vAlign w:val="center"/>
            <w:hideMark/>
          </w:tcPr>
          <w:p w14:paraId="6646D962"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470E787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(0.022)</w:t>
            </w:r>
          </w:p>
        </w:tc>
        <w:tc>
          <w:tcPr>
            <w:tcW w:w="0" w:type="auto"/>
            <w:tcBorders>
              <w:top w:val="nil"/>
              <w:left w:val="nil"/>
              <w:bottom w:val="nil"/>
              <w:right w:val="nil"/>
            </w:tcBorders>
            <w:vAlign w:val="center"/>
            <w:hideMark/>
          </w:tcPr>
          <w:p w14:paraId="112F59D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(0.018)</w:t>
            </w:r>
          </w:p>
        </w:tc>
      </w:tr>
      <w:tr w:rsidR="00E850E2" w:rsidRPr="008A3160" w14:paraId="3ACB86E1" w14:textId="77777777" w:rsidTr="00217E39">
        <w:trPr>
          <w:trHeight w:val="20"/>
        </w:trPr>
        <w:tc>
          <w:tcPr>
            <w:tcW w:w="0" w:type="auto"/>
            <w:vMerge w:val="restart"/>
            <w:tcBorders>
              <w:top w:val="nil"/>
              <w:left w:val="nil"/>
              <w:bottom w:val="nil"/>
              <w:right w:val="nil"/>
            </w:tcBorders>
            <w:vAlign w:val="center"/>
            <w:hideMark/>
          </w:tcPr>
          <w:p w14:paraId="0ED1122C"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RTA1025</w:t>
            </w:r>
          </w:p>
        </w:tc>
        <w:tc>
          <w:tcPr>
            <w:tcW w:w="0" w:type="auto"/>
            <w:tcBorders>
              <w:top w:val="nil"/>
              <w:left w:val="nil"/>
              <w:bottom w:val="nil"/>
              <w:right w:val="nil"/>
            </w:tcBorders>
            <w:vAlign w:val="center"/>
            <w:hideMark/>
          </w:tcPr>
          <w:p w14:paraId="05B2CCF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0.625**</w:t>
            </w:r>
          </w:p>
        </w:tc>
        <w:tc>
          <w:tcPr>
            <w:tcW w:w="0" w:type="auto"/>
            <w:tcBorders>
              <w:top w:val="nil"/>
              <w:left w:val="nil"/>
              <w:bottom w:val="nil"/>
              <w:right w:val="nil"/>
            </w:tcBorders>
            <w:vAlign w:val="center"/>
            <w:hideMark/>
          </w:tcPr>
          <w:p w14:paraId="376F102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0.329***</w:t>
            </w:r>
          </w:p>
        </w:tc>
      </w:tr>
      <w:tr w:rsidR="00E850E2" w:rsidRPr="008A3160" w14:paraId="21DEEF51" w14:textId="77777777" w:rsidTr="00217E39">
        <w:trPr>
          <w:trHeight w:val="20"/>
        </w:trPr>
        <w:tc>
          <w:tcPr>
            <w:tcW w:w="0" w:type="auto"/>
            <w:vMerge/>
            <w:tcBorders>
              <w:top w:val="nil"/>
              <w:left w:val="nil"/>
              <w:bottom w:val="nil"/>
              <w:right w:val="nil"/>
            </w:tcBorders>
            <w:vAlign w:val="center"/>
            <w:hideMark/>
          </w:tcPr>
          <w:p w14:paraId="2D022FFE"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47F7FD5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(0.296)</w:t>
            </w:r>
          </w:p>
        </w:tc>
        <w:tc>
          <w:tcPr>
            <w:tcW w:w="0" w:type="auto"/>
            <w:tcBorders>
              <w:top w:val="nil"/>
              <w:left w:val="nil"/>
              <w:bottom w:val="nil"/>
              <w:right w:val="nil"/>
            </w:tcBorders>
            <w:vAlign w:val="center"/>
            <w:hideMark/>
          </w:tcPr>
          <w:p w14:paraId="0FBEB2D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(0.118)</w:t>
            </w:r>
          </w:p>
        </w:tc>
      </w:tr>
      <w:tr w:rsidR="00E850E2" w:rsidRPr="008A3160" w14:paraId="3E019C0B" w14:textId="77777777" w:rsidTr="00217E39">
        <w:trPr>
          <w:trHeight w:val="20"/>
        </w:trPr>
        <w:tc>
          <w:tcPr>
            <w:tcW w:w="0" w:type="auto"/>
            <w:vMerge w:val="restart"/>
            <w:tcBorders>
              <w:top w:val="nil"/>
              <w:left w:val="nil"/>
              <w:bottom w:val="nil"/>
              <w:right w:val="nil"/>
            </w:tcBorders>
            <w:vAlign w:val="center"/>
            <w:hideMark/>
          </w:tcPr>
          <w:p w14:paraId="008FC5C7"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Tpes</w:t>
            </w:r>
            <w:proofErr w:type="spellEnd"/>
          </w:p>
        </w:tc>
        <w:tc>
          <w:tcPr>
            <w:tcW w:w="0" w:type="auto"/>
            <w:tcBorders>
              <w:top w:val="nil"/>
              <w:left w:val="nil"/>
              <w:bottom w:val="nil"/>
              <w:right w:val="nil"/>
            </w:tcBorders>
            <w:vAlign w:val="center"/>
            <w:hideMark/>
          </w:tcPr>
          <w:p w14:paraId="26A3247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-0.145</w:t>
            </w:r>
          </w:p>
        </w:tc>
        <w:tc>
          <w:tcPr>
            <w:tcW w:w="0" w:type="auto"/>
            <w:tcBorders>
              <w:top w:val="nil"/>
              <w:left w:val="nil"/>
              <w:bottom w:val="nil"/>
              <w:right w:val="nil"/>
            </w:tcBorders>
            <w:vAlign w:val="center"/>
            <w:hideMark/>
          </w:tcPr>
          <w:p w14:paraId="5BBB5D9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0.208</w:t>
            </w:r>
          </w:p>
        </w:tc>
      </w:tr>
      <w:tr w:rsidR="00E850E2" w:rsidRPr="008A3160" w14:paraId="7B85F8FD" w14:textId="77777777" w:rsidTr="00217E39">
        <w:trPr>
          <w:trHeight w:val="20"/>
        </w:trPr>
        <w:tc>
          <w:tcPr>
            <w:tcW w:w="0" w:type="auto"/>
            <w:vMerge/>
            <w:tcBorders>
              <w:top w:val="nil"/>
              <w:left w:val="nil"/>
              <w:bottom w:val="nil"/>
              <w:right w:val="nil"/>
            </w:tcBorders>
            <w:vAlign w:val="center"/>
            <w:hideMark/>
          </w:tcPr>
          <w:p w14:paraId="5ECC26BD"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58F70B3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(0.206)</w:t>
            </w:r>
          </w:p>
        </w:tc>
        <w:tc>
          <w:tcPr>
            <w:tcW w:w="0" w:type="auto"/>
            <w:tcBorders>
              <w:top w:val="nil"/>
              <w:left w:val="nil"/>
              <w:bottom w:val="nil"/>
              <w:right w:val="nil"/>
            </w:tcBorders>
            <w:vAlign w:val="center"/>
            <w:hideMark/>
          </w:tcPr>
          <w:p w14:paraId="1875D55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(0.521)</w:t>
            </w:r>
          </w:p>
        </w:tc>
      </w:tr>
      <w:tr w:rsidR="00E850E2" w:rsidRPr="008A3160" w14:paraId="51534B14" w14:textId="77777777" w:rsidTr="00217E39">
        <w:trPr>
          <w:trHeight w:val="20"/>
        </w:trPr>
        <w:tc>
          <w:tcPr>
            <w:tcW w:w="0" w:type="auto"/>
            <w:vMerge w:val="restart"/>
            <w:tcBorders>
              <w:top w:val="nil"/>
              <w:left w:val="nil"/>
              <w:bottom w:val="nil"/>
              <w:right w:val="nil"/>
            </w:tcBorders>
            <w:vAlign w:val="center"/>
            <w:hideMark/>
          </w:tcPr>
          <w:p w14:paraId="5DADFD51"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Tfert</w:t>
            </w:r>
            <w:proofErr w:type="spellEnd"/>
          </w:p>
        </w:tc>
        <w:tc>
          <w:tcPr>
            <w:tcW w:w="0" w:type="auto"/>
            <w:tcBorders>
              <w:top w:val="nil"/>
              <w:left w:val="nil"/>
              <w:bottom w:val="nil"/>
              <w:right w:val="nil"/>
            </w:tcBorders>
            <w:vAlign w:val="center"/>
            <w:hideMark/>
          </w:tcPr>
          <w:p w14:paraId="76DBEC8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0.143</w:t>
            </w:r>
          </w:p>
        </w:tc>
        <w:tc>
          <w:tcPr>
            <w:tcW w:w="0" w:type="auto"/>
            <w:tcBorders>
              <w:top w:val="nil"/>
              <w:left w:val="nil"/>
              <w:bottom w:val="nil"/>
              <w:right w:val="nil"/>
            </w:tcBorders>
            <w:vAlign w:val="center"/>
            <w:hideMark/>
          </w:tcPr>
          <w:p w14:paraId="6E0F058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-0.684</w:t>
            </w:r>
          </w:p>
        </w:tc>
      </w:tr>
      <w:tr w:rsidR="00E850E2" w:rsidRPr="008A3160" w14:paraId="29D32211" w14:textId="77777777" w:rsidTr="00217E39">
        <w:trPr>
          <w:trHeight w:val="20"/>
        </w:trPr>
        <w:tc>
          <w:tcPr>
            <w:tcW w:w="0" w:type="auto"/>
            <w:vMerge/>
            <w:tcBorders>
              <w:top w:val="nil"/>
              <w:left w:val="nil"/>
              <w:bottom w:val="nil"/>
              <w:right w:val="nil"/>
            </w:tcBorders>
            <w:vAlign w:val="center"/>
            <w:hideMark/>
          </w:tcPr>
          <w:p w14:paraId="03742C0A"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1ACA331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(0.169)</w:t>
            </w:r>
          </w:p>
        </w:tc>
        <w:tc>
          <w:tcPr>
            <w:tcW w:w="0" w:type="auto"/>
            <w:tcBorders>
              <w:top w:val="nil"/>
              <w:left w:val="nil"/>
              <w:bottom w:val="nil"/>
              <w:right w:val="nil"/>
            </w:tcBorders>
            <w:vAlign w:val="center"/>
            <w:hideMark/>
          </w:tcPr>
          <w:p w14:paraId="5A166FF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(0.286)</w:t>
            </w:r>
          </w:p>
        </w:tc>
      </w:tr>
      <w:tr w:rsidR="00E850E2" w:rsidRPr="008A3160" w14:paraId="54B02A2A" w14:textId="77777777" w:rsidTr="00217E39">
        <w:trPr>
          <w:trHeight w:val="20"/>
        </w:trPr>
        <w:tc>
          <w:tcPr>
            <w:tcW w:w="0" w:type="auto"/>
            <w:vMerge w:val="restart"/>
            <w:tcBorders>
              <w:top w:val="nil"/>
              <w:left w:val="nil"/>
              <w:bottom w:val="nil"/>
              <w:right w:val="nil"/>
            </w:tcBorders>
            <w:vAlign w:val="center"/>
            <w:hideMark/>
          </w:tcPr>
          <w:p w14:paraId="23CEA1E5"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Tagrtrade</w:t>
            </w:r>
            <w:proofErr w:type="spellEnd"/>
          </w:p>
        </w:tc>
        <w:tc>
          <w:tcPr>
            <w:tcW w:w="0" w:type="auto"/>
            <w:tcBorders>
              <w:top w:val="nil"/>
              <w:left w:val="nil"/>
              <w:bottom w:val="nil"/>
              <w:right w:val="nil"/>
            </w:tcBorders>
            <w:vAlign w:val="center"/>
            <w:hideMark/>
          </w:tcPr>
          <w:p w14:paraId="49259F1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-0.606***</w:t>
            </w:r>
          </w:p>
        </w:tc>
        <w:tc>
          <w:tcPr>
            <w:tcW w:w="0" w:type="auto"/>
            <w:tcBorders>
              <w:top w:val="nil"/>
              <w:left w:val="nil"/>
              <w:bottom w:val="nil"/>
              <w:right w:val="nil"/>
            </w:tcBorders>
            <w:vAlign w:val="center"/>
            <w:hideMark/>
          </w:tcPr>
          <w:p w14:paraId="4355FBF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-1.149***</w:t>
            </w:r>
          </w:p>
        </w:tc>
      </w:tr>
      <w:tr w:rsidR="00E850E2" w:rsidRPr="008A3160" w14:paraId="5E899EA5" w14:textId="77777777" w:rsidTr="00217E39">
        <w:trPr>
          <w:trHeight w:val="20"/>
        </w:trPr>
        <w:tc>
          <w:tcPr>
            <w:tcW w:w="0" w:type="auto"/>
            <w:vMerge/>
            <w:tcBorders>
              <w:top w:val="nil"/>
              <w:left w:val="nil"/>
              <w:bottom w:val="nil"/>
              <w:right w:val="nil"/>
            </w:tcBorders>
            <w:vAlign w:val="center"/>
            <w:hideMark/>
          </w:tcPr>
          <w:p w14:paraId="054E7BA2"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2EE9985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(0.169)</w:t>
            </w:r>
          </w:p>
        </w:tc>
        <w:tc>
          <w:tcPr>
            <w:tcW w:w="0" w:type="auto"/>
            <w:tcBorders>
              <w:top w:val="nil"/>
              <w:left w:val="nil"/>
              <w:bottom w:val="nil"/>
              <w:right w:val="nil"/>
            </w:tcBorders>
            <w:vAlign w:val="center"/>
            <w:hideMark/>
          </w:tcPr>
          <w:p w14:paraId="52854A8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(0.286)</w:t>
            </w:r>
          </w:p>
        </w:tc>
      </w:tr>
      <w:tr w:rsidR="00E850E2" w:rsidRPr="008A3160" w14:paraId="5F766E63" w14:textId="77777777" w:rsidTr="00217E39">
        <w:trPr>
          <w:trHeight w:val="20"/>
        </w:trPr>
        <w:tc>
          <w:tcPr>
            <w:tcW w:w="0" w:type="auto"/>
            <w:vMerge w:val="restart"/>
            <w:tcBorders>
              <w:top w:val="nil"/>
              <w:left w:val="nil"/>
              <w:bottom w:val="single" w:sz="8" w:space="0" w:color="000000"/>
              <w:right w:val="nil"/>
            </w:tcBorders>
            <w:vAlign w:val="center"/>
            <w:hideMark/>
          </w:tcPr>
          <w:p w14:paraId="60980C36"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EPIscore</w:t>
            </w:r>
            <w:proofErr w:type="spellEnd"/>
          </w:p>
        </w:tc>
        <w:tc>
          <w:tcPr>
            <w:tcW w:w="0" w:type="auto"/>
            <w:tcBorders>
              <w:top w:val="nil"/>
              <w:left w:val="nil"/>
              <w:bottom w:val="nil"/>
              <w:right w:val="nil"/>
            </w:tcBorders>
            <w:vAlign w:val="center"/>
            <w:hideMark/>
          </w:tcPr>
          <w:p w14:paraId="44195F8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0.275*</w:t>
            </w:r>
          </w:p>
        </w:tc>
        <w:tc>
          <w:tcPr>
            <w:tcW w:w="0" w:type="auto"/>
            <w:tcBorders>
              <w:top w:val="nil"/>
              <w:left w:val="nil"/>
              <w:bottom w:val="nil"/>
              <w:right w:val="nil"/>
            </w:tcBorders>
            <w:vAlign w:val="center"/>
            <w:hideMark/>
          </w:tcPr>
          <w:p w14:paraId="1C72140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0.537***</w:t>
            </w:r>
          </w:p>
        </w:tc>
      </w:tr>
      <w:tr w:rsidR="00E850E2" w:rsidRPr="008A3160" w14:paraId="398C8DE5" w14:textId="77777777" w:rsidTr="00217E39">
        <w:trPr>
          <w:trHeight w:val="20"/>
        </w:trPr>
        <w:tc>
          <w:tcPr>
            <w:tcW w:w="0" w:type="auto"/>
            <w:vMerge/>
            <w:tcBorders>
              <w:top w:val="nil"/>
              <w:left w:val="nil"/>
              <w:bottom w:val="single" w:sz="8" w:space="0" w:color="000000"/>
              <w:right w:val="nil"/>
            </w:tcBorders>
            <w:vAlign w:val="center"/>
            <w:hideMark/>
          </w:tcPr>
          <w:p w14:paraId="5D75A7C0"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05B15E2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(0.151)</w:t>
            </w:r>
          </w:p>
        </w:tc>
        <w:tc>
          <w:tcPr>
            <w:tcW w:w="0" w:type="auto"/>
            <w:tcBorders>
              <w:top w:val="nil"/>
              <w:left w:val="nil"/>
              <w:bottom w:val="nil"/>
              <w:right w:val="nil"/>
            </w:tcBorders>
            <w:vAlign w:val="center"/>
            <w:hideMark/>
          </w:tcPr>
          <w:p w14:paraId="007592C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(0.129)</w:t>
            </w:r>
          </w:p>
        </w:tc>
      </w:tr>
      <w:tr w:rsidR="00E850E2" w:rsidRPr="008A3160" w14:paraId="3F6E3294" w14:textId="77777777" w:rsidTr="00217E39">
        <w:trPr>
          <w:trHeight w:val="20"/>
        </w:trPr>
        <w:tc>
          <w:tcPr>
            <w:tcW w:w="0" w:type="auto"/>
            <w:tcBorders>
              <w:top w:val="nil"/>
              <w:left w:val="nil"/>
              <w:bottom w:val="single" w:sz="8" w:space="0" w:color="auto"/>
              <w:right w:val="nil"/>
            </w:tcBorders>
            <w:vAlign w:val="center"/>
            <w:hideMark/>
          </w:tcPr>
          <w:p w14:paraId="602C6D79"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 </w:t>
            </w:r>
          </w:p>
        </w:tc>
        <w:tc>
          <w:tcPr>
            <w:tcW w:w="0" w:type="auto"/>
            <w:tcBorders>
              <w:top w:val="single" w:sz="8" w:space="0" w:color="auto"/>
              <w:left w:val="nil"/>
              <w:bottom w:val="single" w:sz="8" w:space="0" w:color="auto"/>
              <w:right w:val="nil"/>
            </w:tcBorders>
            <w:vAlign w:val="center"/>
            <w:hideMark/>
          </w:tcPr>
          <w:p w14:paraId="237093C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w:t>
            </w:r>
          </w:p>
        </w:tc>
        <w:tc>
          <w:tcPr>
            <w:tcW w:w="0" w:type="auto"/>
            <w:tcBorders>
              <w:top w:val="single" w:sz="8" w:space="0" w:color="auto"/>
              <w:left w:val="nil"/>
              <w:bottom w:val="single" w:sz="8" w:space="0" w:color="auto"/>
              <w:right w:val="nil"/>
            </w:tcBorders>
            <w:vAlign w:val="center"/>
            <w:hideMark/>
          </w:tcPr>
          <w:p w14:paraId="30E0E99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w:t>
            </w:r>
          </w:p>
        </w:tc>
      </w:tr>
      <w:tr w:rsidR="00E850E2" w:rsidRPr="008A3160" w14:paraId="3D90D982" w14:textId="77777777" w:rsidTr="00217E39">
        <w:trPr>
          <w:trHeight w:val="20"/>
        </w:trPr>
        <w:tc>
          <w:tcPr>
            <w:tcW w:w="0" w:type="auto"/>
            <w:tcBorders>
              <w:top w:val="nil"/>
              <w:left w:val="nil"/>
              <w:bottom w:val="single" w:sz="12" w:space="0" w:color="auto"/>
              <w:right w:val="nil"/>
            </w:tcBorders>
            <w:vAlign w:val="center"/>
            <w:hideMark/>
          </w:tcPr>
          <w:p w14:paraId="019720C0"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Pesaran</w:t>
            </w:r>
            <w:proofErr w:type="spellEnd"/>
            <w:r w:rsidRPr="008A3160">
              <w:rPr>
                <w:rFonts w:ascii="Times New Roman" w:eastAsia="Times New Roman" w:hAnsi="Times New Roman" w:cs="Times New Roman"/>
                <w:i/>
                <w:iCs/>
                <w:color w:val="000000"/>
                <w:kern w:val="0"/>
                <w:lang w:val="it-IT" w:eastAsia="it-IT"/>
                <w14:ligatures w14:val="none"/>
              </w:rPr>
              <w:t xml:space="preserve"> CD test</w:t>
            </w:r>
          </w:p>
        </w:tc>
        <w:tc>
          <w:tcPr>
            <w:tcW w:w="0" w:type="auto"/>
            <w:tcBorders>
              <w:top w:val="nil"/>
              <w:left w:val="nil"/>
              <w:bottom w:val="single" w:sz="12" w:space="0" w:color="auto"/>
              <w:right w:val="nil"/>
            </w:tcBorders>
            <w:vAlign w:val="center"/>
            <w:hideMark/>
          </w:tcPr>
          <w:p w14:paraId="1DD0161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-0.746</w:t>
            </w:r>
          </w:p>
        </w:tc>
        <w:tc>
          <w:tcPr>
            <w:tcW w:w="0" w:type="auto"/>
            <w:tcBorders>
              <w:top w:val="nil"/>
              <w:left w:val="nil"/>
              <w:bottom w:val="single" w:sz="12" w:space="0" w:color="auto"/>
              <w:right w:val="nil"/>
            </w:tcBorders>
            <w:vAlign w:val="center"/>
            <w:hideMark/>
          </w:tcPr>
          <w:p w14:paraId="52EBDD2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2.113**</w:t>
            </w:r>
          </w:p>
        </w:tc>
      </w:tr>
      <w:tr w:rsidR="00E850E2" w:rsidRPr="008A3160" w14:paraId="0679439D" w14:textId="77777777" w:rsidTr="00217E39">
        <w:trPr>
          <w:trHeight w:val="20"/>
        </w:trPr>
        <w:tc>
          <w:tcPr>
            <w:tcW w:w="0" w:type="auto"/>
            <w:tcBorders>
              <w:top w:val="nil"/>
              <w:left w:val="nil"/>
              <w:bottom w:val="single" w:sz="12" w:space="0" w:color="auto"/>
              <w:right w:val="nil"/>
            </w:tcBorders>
            <w:vAlign w:val="center"/>
            <w:hideMark/>
          </w:tcPr>
          <w:p w14:paraId="78F51D66"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 xml:space="preserve">LM test </w:t>
            </w:r>
          </w:p>
        </w:tc>
        <w:tc>
          <w:tcPr>
            <w:tcW w:w="0" w:type="auto"/>
            <w:tcBorders>
              <w:top w:val="nil"/>
              <w:left w:val="nil"/>
              <w:bottom w:val="single" w:sz="12" w:space="0" w:color="auto"/>
              <w:right w:val="nil"/>
            </w:tcBorders>
            <w:vAlign w:val="center"/>
            <w:hideMark/>
          </w:tcPr>
          <w:p w14:paraId="6E75D5B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0.319</w:t>
            </w:r>
          </w:p>
        </w:tc>
        <w:tc>
          <w:tcPr>
            <w:tcW w:w="0" w:type="auto"/>
            <w:tcBorders>
              <w:top w:val="nil"/>
              <w:left w:val="nil"/>
              <w:bottom w:val="single" w:sz="12" w:space="0" w:color="auto"/>
              <w:right w:val="nil"/>
            </w:tcBorders>
            <w:vAlign w:val="center"/>
            <w:hideMark/>
          </w:tcPr>
          <w:p w14:paraId="399439C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1.542</w:t>
            </w:r>
          </w:p>
        </w:tc>
      </w:tr>
      <w:tr w:rsidR="00E850E2" w:rsidRPr="008A3160" w14:paraId="7138B204" w14:textId="77777777" w:rsidTr="00217E39">
        <w:trPr>
          <w:trHeight w:val="20"/>
        </w:trPr>
        <w:tc>
          <w:tcPr>
            <w:tcW w:w="0" w:type="auto"/>
            <w:tcBorders>
              <w:top w:val="nil"/>
              <w:left w:val="nil"/>
              <w:bottom w:val="single" w:sz="12" w:space="0" w:color="auto"/>
              <w:right w:val="nil"/>
            </w:tcBorders>
            <w:vAlign w:val="center"/>
            <w:hideMark/>
          </w:tcPr>
          <w:p w14:paraId="752399FA"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N</w:t>
            </w:r>
          </w:p>
        </w:tc>
        <w:tc>
          <w:tcPr>
            <w:tcW w:w="0" w:type="auto"/>
            <w:tcBorders>
              <w:top w:val="nil"/>
              <w:left w:val="nil"/>
              <w:bottom w:val="single" w:sz="12" w:space="0" w:color="auto"/>
              <w:right w:val="nil"/>
            </w:tcBorders>
            <w:vAlign w:val="center"/>
            <w:hideMark/>
          </w:tcPr>
          <w:p w14:paraId="71D6F1A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1,672</w:t>
            </w:r>
          </w:p>
        </w:tc>
        <w:tc>
          <w:tcPr>
            <w:tcW w:w="0" w:type="auto"/>
            <w:tcBorders>
              <w:top w:val="nil"/>
              <w:left w:val="nil"/>
              <w:bottom w:val="single" w:sz="12" w:space="0" w:color="auto"/>
              <w:right w:val="nil"/>
            </w:tcBorders>
            <w:vAlign w:val="center"/>
            <w:hideMark/>
          </w:tcPr>
          <w:p w14:paraId="5E01417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1,452</w:t>
            </w:r>
          </w:p>
        </w:tc>
      </w:tr>
      <w:tr w:rsidR="00E850E2" w:rsidRPr="008A3160" w14:paraId="1D34F8BE" w14:textId="77777777" w:rsidTr="00217E39">
        <w:trPr>
          <w:trHeight w:val="20"/>
        </w:trPr>
        <w:tc>
          <w:tcPr>
            <w:tcW w:w="0" w:type="auto"/>
            <w:tcBorders>
              <w:top w:val="nil"/>
              <w:left w:val="nil"/>
              <w:bottom w:val="single" w:sz="12" w:space="0" w:color="auto"/>
              <w:right w:val="nil"/>
            </w:tcBorders>
            <w:vAlign w:val="center"/>
            <w:hideMark/>
          </w:tcPr>
          <w:p w14:paraId="27122A1B"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Instrumental</w:t>
            </w:r>
            <w:proofErr w:type="spellEnd"/>
            <w:r w:rsidRPr="008A3160">
              <w:rPr>
                <w:rFonts w:ascii="Times New Roman" w:eastAsia="Times New Roman" w:hAnsi="Times New Roman" w:cs="Times New Roman"/>
                <w:i/>
                <w:iCs/>
                <w:color w:val="000000"/>
                <w:kern w:val="0"/>
                <w:lang w:val="it-IT" w:eastAsia="it-IT"/>
                <w14:ligatures w14:val="none"/>
              </w:rPr>
              <w:t xml:space="preserve"> lags</w:t>
            </w:r>
          </w:p>
        </w:tc>
        <w:tc>
          <w:tcPr>
            <w:tcW w:w="0" w:type="auto"/>
            <w:tcBorders>
              <w:top w:val="nil"/>
              <w:left w:val="nil"/>
              <w:bottom w:val="single" w:sz="12" w:space="0" w:color="auto"/>
              <w:right w:val="nil"/>
            </w:tcBorders>
            <w:vAlign w:val="center"/>
            <w:hideMark/>
          </w:tcPr>
          <w:p w14:paraId="7EE621C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12" w:space="0" w:color="auto"/>
              <w:right w:val="nil"/>
            </w:tcBorders>
            <w:vAlign w:val="center"/>
            <w:hideMark/>
          </w:tcPr>
          <w:p w14:paraId="5DABA71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r>
    </w:tbl>
    <w:p w14:paraId="14374208" w14:textId="77777777" w:rsidR="00E850E2" w:rsidRPr="008D1975" w:rsidRDefault="00E850E2" w:rsidP="00E850E2">
      <w:pPr>
        <w:keepNext/>
        <w:ind w:right="93"/>
        <w:jc w:val="both"/>
        <w:rPr>
          <w:rFonts w:ascii="Times New Roman" w:hAnsi="Times New Roman" w:cs="Times New Roman"/>
          <w:b/>
          <w:bCs/>
          <w:kern w:val="0"/>
          <w:sz w:val="22"/>
          <w:szCs w:val="22"/>
          <w:lang w:val="en-GB"/>
        </w:rPr>
      </w:pPr>
      <w:r w:rsidRPr="008D1975">
        <w:rPr>
          <w:rFonts w:ascii="Times New Roman" w:hAnsi="Times New Roman" w:cs="Times New Roman"/>
          <w:i/>
          <w:iCs/>
          <w:color w:val="000000"/>
          <w:kern w:val="0"/>
          <w:sz w:val="18"/>
          <w:szCs w:val="18"/>
          <w:lang w:val="it-IT"/>
          <w14:ligatures w14:val="none"/>
        </w:rPr>
        <w:t>Notes</w:t>
      </w:r>
      <w:r>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Dependent</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variable</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envTBT</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Variable</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definitions</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as</w:t>
      </w:r>
      <w:proofErr w:type="spellEnd"/>
      <w:r w:rsidRPr="00891442">
        <w:rPr>
          <w:rFonts w:ascii="Times New Roman" w:hAnsi="Times New Roman" w:cs="Times New Roman"/>
          <w:i/>
          <w:iCs/>
          <w:color w:val="000000"/>
          <w:kern w:val="0"/>
          <w:sz w:val="18"/>
          <w:szCs w:val="18"/>
          <w:lang w:val="it-IT"/>
          <w14:ligatures w14:val="none"/>
        </w:rPr>
        <w:t xml:space="preserve"> in </w:t>
      </w:r>
      <w:proofErr w:type="spellStart"/>
      <w:r w:rsidRPr="00891442">
        <w:rPr>
          <w:rFonts w:ascii="Times New Roman" w:hAnsi="Times New Roman" w:cs="Times New Roman"/>
          <w:i/>
          <w:iCs/>
          <w:color w:val="000000"/>
          <w:kern w:val="0"/>
          <w:sz w:val="18"/>
          <w:szCs w:val="18"/>
          <w:lang w:val="it-IT"/>
          <w14:ligatures w14:val="none"/>
        </w:rPr>
        <w:t>Table</w:t>
      </w:r>
      <w:proofErr w:type="spellEnd"/>
      <w:r w:rsidRPr="00891442">
        <w:rPr>
          <w:rFonts w:ascii="Times New Roman" w:hAnsi="Times New Roman" w:cs="Times New Roman"/>
          <w:i/>
          <w:iCs/>
          <w:color w:val="000000"/>
          <w:kern w:val="0"/>
          <w:sz w:val="18"/>
          <w:szCs w:val="18"/>
          <w:lang w:val="it-IT"/>
          <w14:ligatures w14:val="none"/>
        </w:rPr>
        <w:t xml:space="preserve"> 1. Same estimator and </w:t>
      </w:r>
      <w:proofErr w:type="spellStart"/>
      <w:r w:rsidRPr="00891442">
        <w:rPr>
          <w:rFonts w:ascii="Times New Roman" w:hAnsi="Times New Roman" w:cs="Times New Roman"/>
          <w:i/>
          <w:iCs/>
          <w:color w:val="000000"/>
          <w:kern w:val="0"/>
          <w:sz w:val="18"/>
          <w:szCs w:val="18"/>
          <w:lang w:val="it-IT"/>
          <w14:ligatures w14:val="none"/>
        </w:rPr>
        <w:t>specification</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as</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Table</w:t>
      </w:r>
      <w:proofErr w:type="spellEnd"/>
      <w:r w:rsidRPr="00891442">
        <w:rPr>
          <w:rFonts w:ascii="Times New Roman" w:hAnsi="Times New Roman" w:cs="Times New Roman"/>
          <w:i/>
          <w:iCs/>
          <w:color w:val="000000"/>
          <w:kern w:val="0"/>
          <w:sz w:val="18"/>
          <w:szCs w:val="18"/>
          <w:lang w:val="it-IT"/>
          <w14:ligatures w14:val="none"/>
        </w:rPr>
        <w:t xml:space="preserve"> 3, </w:t>
      </w:r>
      <w:proofErr w:type="spellStart"/>
      <w:r w:rsidRPr="00891442">
        <w:rPr>
          <w:rFonts w:ascii="Times New Roman" w:hAnsi="Times New Roman" w:cs="Times New Roman"/>
          <w:i/>
          <w:iCs/>
          <w:color w:val="000000"/>
          <w:kern w:val="0"/>
          <w:sz w:val="18"/>
          <w:szCs w:val="18"/>
          <w:lang w:val="it-IT"/>
          <w14:ligatures w14:val="none"/>
        </w:rPr>
        <w:t>column</w:t>
      </w:r>
      <w:proofErr w:type="spellEnd"/>
      <w:r w:rsidRPr="00891442">
        <w:rPr>
          <w:rFonts w:ascii="Times New Roman" w:hAnsi="Times New Roman" w:cs="Times New Roman"/>
          <w:i/>
          <w:iCs/>
          <w:color w:val="000000"/>
          <w:kern w:val="0"/>
          <w:sz w:val="18"/>
          <w:szCs w:val="18"/>
          <w:lang w:val="it-IT"/>
          <w14:ligatures w14:val="none"/>
        </w:rPr>
        <w:t xml:space="preserve"> (10). Sample split </w:t>
      </w:r>
      <w:proofErr w:type="spellStart"/>
      <w:r w:rsidRPr="00891442">
        <w:rPr>
          <w:rFonts w:ascii="Times New Roman" w:hAnsi="Times New Roman" w:cs="Times New Roman"/>
          <w:i/>
          <w:iCs/>
          <w:color w:val="000000"/>
          <w:kern w:val="0"/>
          <w:sz w:val="18"/>
          <w:szCs w:val="18"/>
          <w:lang w:val="it-IT"/>
          <w14:ligatures w14:val="none"/>
        </w:rPr>
        <w:t>according</w:t>
      </w:r>
      <w:proofErr w:type="spellEnd"/>
      <w:r w:rsidRPr="00891442">
        <w:rPr>
          <w:rFonts w:ascii="Times New Roman" w:hAnsi="Times New Roman" w:cs="Times New Roman"/>
          <w:i/>
          <w:iCs/>
          <w:color w:val="000000"/>
          <w:kern w:val="0"/>
          <w:sz w:val="18"/>
          <w:szCs w:val="18"/>
          <w:lang w:val="it-IT"/>
          <w14:ligatures w14:val="none"/>
        </w:rPr>
        <w:t xml:space="preserve"> to World Bank </w:t>
      </w:r>
      <w:proofErr w:type="spellStart"/>
      <w:r w:rsidRPr="00891442">
        <w:rPr>
          <w:rFonts w:ascii="Times New Roman" w:hAnsi="Times New Roman" w:cs="Times New Roman"/>
          <w:i/>
          <w:iCs/>
          <w:color w:val="000000"/>
          <w:kern w:val="0"/>
          <w:sz w:val="18"/>
          <w:szCs w:val="18"/>
          <w:lang w:val="it-IT"/>
          <w14:ligatures w14:val="none"/>
        </w:rPr>
        <w:t>income</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classification</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developing</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column</w:t>
      </w:r>
      <w:proofErr w:type="spellEnd"/>
      <w:r w:rsidRPr="00891442">
        <w:rPr>
          <w:rFonts w:ascii="Times New Roman" w:hAnsi="Times New Roman" w:cs="Times New Roman"/>
          <w:i/>
          <w:iCs/>
          <w:color w:val="000000"/>
          <w:kern w:val="0"/>
          <w:sz w:val="18"/>
          <w:szCs w:val="18"/>
          <w:lang w:val="it-IT"/>
          <w14:ligatures w14:val="none"/>
        </w:rPr>
        <w:t xml:space="preserve"> 13) and </w:t>
      </w:r>
      <w:proofErr w:type="spellStart"/>
      <w:r w:rsidRPr="00891442">
        <w:rPr>
          <w:rFonts w:ascii="Times New Roman" w:hAnsi="Times New Roman" w:cs="Times New Roman"/>
          <w:i/>
          <w:iCs/>
          <w:color w:val="000000"/>
          <w:kern w:val="0"/>
          <w:sz w:val="18"/>
          <w:szCs w:val="18"/>
          <w:lang w:val="it-IT"/>
          <w14:ligatures w14:val="none"/>
        </w:rPr>
        <w:t>developed</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column</w:t>
      </w:r>
      <w:proofErr w:type="spellEnd"/>
      <w:r w:rsidRPr="00891442">
        <w:rPr>
          <w:rFonts w:ascii="Times New Roman" w:hAnsi="Times New Roman" w:cs="Times New Roman"/>
          <w:i/>
          <w:iCs/>
          <w:color w:val="000000"/>
          <w:kern w:val="0"/>
          <w:sz w:val="18"/>
          <w:szCs w:val="18"/>
          <w:lang w:val="it-IT"/>
          <w14:ligatures w14:val="none"/>
        </w:rPr>
        <w:t xml:space="preserve"> 14) countries. RTA </w:t>
      </w:r>
      <w:proofErr w:type="spellStart"/>
      <w:r w:rsidRPr="00891442">
        <w:rPr>
          <w:rFonts w:ascii="Times New Roman" w:hAnsi="Times New Roman" w:cs="Times New Roman"/>
          <w:i/>
          <w:iCs/>
          <w:color w:val="000000"/>
          <w:kern w:val="0"/>
          <w:sz w:val="18"/>
          <w:szCs w:val="18"/>
          <w:lang w:val="it-IT"/>
          <w14:ligatures w14:val="none"/>
        </w:rPr>
        <w:t>Fert&amp;Pest</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treated</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as</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endogenous</w:t>
      </w:r>
      <w:proofErr w:type="spellEnd"/>
      <w:r w:rsidRPr="00891442">
        <w:rPr>
          <w:rFonts w:ascii="Times New Roman" w:hAnsi="Times New Roman" w:cs="Times New Roman"/>
          <w:i/>
          <w:iCs/>
          <w:color w:val="000000"/>
          <w:kern w:val="0"/>
          <w:sz w:val="18"/>
          <w:szCs w:val="18"/>
          <w:lang w:val="it-IT"/>
          <w14:ligatures w14:val="none"/>
        </w:rPr>
        <w:t xml:space="preserve"> and </w:t>
      </w:r>
      <w:proofErr w:type="spellStart"/>
      <w:r w:rsidRPr="00891442">
        <w:rPr>
          <w:rFonts w:ascii="Times New Roman" w:hAnsi="Times New Roman" w:cs="Times New Roman"/>
          <w:i/>
          <w:iCs/>
          <w:color w:val="000000"/>
          <w:kern w:val="0"/>
          <w:sz w:val="18"/>
          <w:szCs w:val="18"/>
          <w:lang w:val="it-IT"/>
          <w14:ligatures w14:val="none"/>
        </w:rPr>
        <w:t>instrumented</w:t>
      </w:r>
      <w:proofErr w:type="spellEnd"/>
      <w:r w:rsidRPr="00891442">
        <w:rPr>
          <w:rFonts w:ascii="Times New Roman" w:hAnsi="Times New Roman" w:cs="Times New Roman"/>
          <w:i/>
          <w:iCs/>
          <w:color w:val="000000"/>
          <w:kern w:val="0"/>
          <w:sz w:val="18"/>
          <w:szCs w:val="18"/>
          <w:lang w:val="it-IT"/>
          <w14:ligatures w14:val="none"/>
        </w:rPr>
        <w:t xml:space="preserve"> with </w:t>
      </w:r>
      <w:proofErr w:type="spellStart"/>
      <w:r w:rsidRPr="00891442">
        <w:rPr>
          <w:rFonts w:ascii="Times New Roman" w:hAnsi="Times New Roman" w:cs="Times New Roman"/>
          <w:i/>
          <w:iCs/>
          <w:color w:val="000000"/>
          <w:kern w:val="0"/>
          <w:sz w:val="18"/>
          <w:szCs w:val="18"/>
          <w:lang w:val="it-IT"/>
          <w14:ligatures w14:val="none"/>
        </w:rPr>
        <w:t>its</w:t>
      </w:r>
      <w:proofErr w:type="spellEnd"/>
      <w:r w:rsidRPr="00891442">
        <w:rPr>
          <w:rFonts w:ascii="Times New Roman" w:hAnsi="Times New Roman" w:cs="Times New Roman"/>
          <w:i/>
          <w:iCs/>
          <w:color w:val="000000"/>
          <w:kern w:val="0"/>
          <w:sz w:val="18"/>
          <w:szCs w:val="18"/>
          <w:lang w:val="it-IT"/>
          <w14:ligatures w14:val="none"/>
        </w:rPr>
        <w:t xml:space="preserve"> first lag. </w:t>
      </w:r>
      <w:proofErr w:type="spellStart"/>
      <w:r>
        <w:rPr>
          <w:rFonts w:ascii="Times New Roman" w:hAnsi="Times New Roman" w:cs="Times New Roman"/>
          <w:i/>
          <w:iCs/>
          <w:color w:val="000000"/>
          <w:kern w:val="0"/>
          <w:sz w:val="18"/>
          <w:szCs w:val="18"/>
          <w:lang w:val="it-IT"/>
          <w14:ligatures w14:val="none"/>
        </w:rPr>
        <w:t>R</w:t>
      </w:r>
      <w:r w:rsidRPr="00891442">
        <w:rPr>
          <w:rFonts w:ascii="Times New Roman" w:hAnsi="Times New Roman" w:cs="Times New Roman"/>
          <w:i/>
          <w:iCs/>
          <w:color w:val="000000"/>
          <w:kern w:val="0"/>
          <w:sz w:val="18"/>
          <w:szCs w:val="18"/>
          <w:lang w:val="it-IT"/>
          <w14:ligatures w14:val="none"/>
        </w:rPr>
        <w:t>obust</w:t>
      </w:r>
      <w:proofErr w:type="spellEnd"/>
      <w:r w:rsidRPr="00891442">
        <w:rPr>
          <w:rFonts w:ascii="Times New Roman" w:hAnsi="Times New Roman" w:cs="Times New Roman"/>
          <w:i/>
          <w:iCs/>
          <w:color w:val="000000"/>
          <w:kern w:val="0"/>
          <w:sz w:val="18"/>
          <w:szCs w:val="18"/>
          <w:lang w:val="it-IT"/>
          <w14:ligatures w14:val="none"/>
        </w:rPr>
        <w:t xml:space="preserve"> standard </w:t>
      </w:r>
      <w:proofErr w:type="spellStart"/>
      <w:r w:rsidRPr="00891442">
        <w:rPr>
          <w:rFonts w:ascii="Times New Roman" w:hAnsi="Times New Roman" w:cs="Times New Roman"/>
          <w:i/>
          <w:iCs/>
          <w:color w:val="000000"/>
          <w:kern w:val="0"/>
          <w:sz w:val="18"/>
          <w:szCs w:val="18"/>
          <w:lang w:val="it-IT"/>
          <w14:ligatures w14:val="none"/>
        </w:rPr>
        <w:t>errors</w:t>
      </w:r>
      <w:proofErr w:type="spellEnd"/>
      <w:r w:rsidRPr="00891442">
        <w:rPr>
          <w:rFonts w:ascii="Times New Roman" w:hAnsi="Times New Roman" w:cs="Times New Roman"/>
          <w:i/>
          <w:iCs/>
          <w:color w:val="000000"/>
          <w:kern w:val="0"/>
          <w:sz w:val="18"/>
          <w:szCs w:val="18"/>
          <w:lang w:val="it-IT"/>
          <w14:ligatures w14:val="none"/>
        </w:rPr>
        <w:t xml:space="preserve"> in </w:t>
      </w:r>
      <w:proofErr w:type="spellStart"/>
      <w:r w:rsidRPr="00891442">
        <w:rPr>
          <w:rFonts w:ascii="Times New Roman" w:hAnsi="Times New Roman" w:cs="Times New Roman"/>
          <w:i/>
          <w:iCs/>
          <w:color w:val="000000"/>
          <w:kern w:val="0"/>
          <w:sz w:val="18"/>
          <w:szCs w:val="18"/>
          <w:lang w:val="it-IT"/>
          <w14:ligatures w14:val="none"/>
        </w:rPr>
        <w:t>parentheses</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Pesaran</w:t>
      </w:r>
      <w:proofErr w:type="spellEnd"/>
      <w:r w:rsidRPr="00891442">
        <w:rPr>
          <w:rFonts w:ascii="Times New Roman" w:hAnsi="Times New Roman" w:cs="Times New Roman"/>
          <w:i/>
          <w:iCs/>
          <w:color w:val="000000"/>
          <w:kern w:val="0"/>
          <w:sz w:val="18"/>
          <w:szCs w:val="18"/>
          <w:lang w:val="it-IT"/>
          <w14:ligatures w14:val="none"/>
        </w:rPr>
        <w:t xml:space="preserve"> CD: cross-</w:t>
      </w:r>
      <w:proofErr w:type="spellStart"/>
      <w:r w:rsidRPr="00891442">
        <w:rPr>
          <w:rFonts w:ascii="Times New Roman" w:hAnsi="Times New Roman" w:cs="Times New Roman"/>
          <w:i/>
          <w:iCs/>
          <w:color w:val="000000"/>
          <w:kern w:val="0"/>
          <w:sz w:val="18"/>
          <w:szCs w:val="18"/>
          <w:lang w:val="it-IT"/>
          <w14:ligatures w14:val="none"/>
        </w:rPr>
        <w:t>sectional</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dependence</w:t>
      </w:r>
      <w:proofErr w:type="spellEnd"/>
      <w:r w:rsidRPr="00891442">
        <w:rPr>
          <w:rFonts w:ascii="Times New Roman" w:hAnsi="Times New Roman" w:cs="Times New Roman"/>
          <w:i/>
          <w:iCs/>
          <w:color w:val="000000"/>
          <w:kern w:val="0"/>
          <w:sz w:val="18"/>
          <w:szCs w:val="18"/>
          <w:lang w:val="it-IT"/>
          <w14:ligatures w14:val="none"/>
        </w:rPr>
        <w:t xml:space="preserve"> test. LM: test for </w:t>
      </w:r>
      <w:proofErr w:type="spellStart"/>
      <w:r w:rsidRPr="00891442">
        <w:rPr>
          <w:rFonts w:ascii="Times New Roman" w:hAnsi="Times New Roman" w:cs="Times New Roman"/>
          <w:i/>
          <w:iCs/>
          <w:color w:val="000000"/>
          <w:kern w:val="0"/>
          <w:sz w:val="18"/>
          <w:szCs w:val="18"/>
          <w:lang w:val="it-IT"/>
          <w14:ligatures w14:val="none"/>
        </w:rPr>
        <w:t>spatial</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error</w:t>
      </w:r>
      <w:proofErr w:type="spellEnd"/>
      <w:r w:rsidRPr="00891442">
        <w:rPr>
          <w:rFonts w:ascii="Times New Roman" w:hAnsi="Times New Roman" w:cs="Times New Roman"/>
          <w:i/>
          <w:iCs/>
          <w:color w:val="000000"/>
          <w:kern w:val="0"/>
          <w:sz w:val="18"/>
          <w:szCs w:val="18"/>
          <w:lang w:val="it-IT"/>
          <w14:ligatures w14:val="none"/>
        </w:rPr>
        <w:t xml:space="preserve"> </w:t>
      </w:r>
      <w:proofErr w:type="spellStart"/>
      <w:r w:rsidRPr="00891442">
        <w:rPr>
          <w:rFonts w:ascii="Times New Roman" w:hAnsi="Times New Roman" w:cs="Times New Roman"/>
          <w:i/>
          <w:iCs/>
          <w:color w:val="000000"/>
          <w:kern w:val="0"/>
          <w:sz w:val="18"/>
          <w:szCs w:val="18"/>
          <w:lang w:val="it-IT"/>
          <w14:ligatures w14:val="none"/>
        </w:rPr>
        <w:t>correlation</w:t>
      </w:r>
      <w:proofErr w:type="spellEnd"/>
      <w:r w:rsidRPr="00891442">
        <w:rPr>
          <w:rFonts w:ascii="Times New Roman" w:hAnsi="Times New Roman" w:cs="Times New Roman"/>
          <w:i/>
          <w:iCs/>
          <w:color w:val="000000"/>
          <w:kern w:val="0"/>
          <w:sz w:val="18"/>
          <w:szCs w:val="18"/>
          <w:lang w:val="it-IT"/>
          <w14:ligatures w14:val="none"/>
        </w:rPr>
        <w:t>. *** p&lt;0.01, ** p&lt;0.05, * p&lt;0.1.</w:t>
      </w:r>
    </w:p>
    <w:p w14:paraId="26ECD871" w14:textId="77777777" w:rsidR="00E850E2" w:rsidRPr="00F325F3" w:rsidRDefault="00E850E2" w:rsidP="00E850E2">
      <w:pPr>
        <w:ind w:right="93"/>
        <w:rPr>
          <w:rFonts w:ascii="Times New Roman" w:hAnsi="Times New Roman" w:cs="Times New Roman"/>
          <w:b/>
          <w:bCs/>
          <w:kern w:val="0"/>
          <w:sz w:val="22"/>
          <w:szCs w:val="22"/>
          <w:lang w:val="it-IT"/>
        </w:rPr>
      </w:pPr>
    </w:p>
    <w:p w14:paraId="67382EFB" w14:textId="77777777" w:rsidR="00E850E2" w:rsidRPr="00F325F3" w:rsidRDefault="00E850E2" w:rsidP="00E850E2">
      <w:pPr>
        <w:ind w:right="93"/>
        <w:rPr>
          <w:rFonts w:ascii="Times New Roman" w:hAnsi="Times New Roman" w:cs="Times New Roman"/>
          <w:b/>
          <w:bCs/>
          <w:kern w:val="0"/>
          <w:sz w:val="22"/>
          <w:szCs w:val="22"/>
          <w:lang w:val="it-IT"/>
        </w:rPr>
      </w:pPr>
    </w:p>
    <w:p w14:paraId="716F3B68" w14:textId="77777777" w:rsidR="00E850E2" w:rsidRPr="00F325F3" w:rsidRDefault="00E850E2" w:rsidP="00E850E2">
      <w:pPr>
        <w:ind w:right="93"/>
        <w:rPr>
          <w:rFonts w:ascii="Times New Roman" w:hAnsi="Times New Roman" w:cs="Times New Roman"/>
          <w:b/>
          <w:bCs/>
          <w:kern w:val="0"/>
          <w:sz w:val="22"/>
          <w:szCs w:val="22"/>
          <w:lang w:val="it-IT"/>
        </w:rPr>
      </w:pPr>
    </w:p>
    <w:p w14:paraId="5346F805" w14:textId="77777777" w:rsidR="00E850E2" w:rsidRPr="00F325F3" w:rsidRDefault="00E850E2" w:rsidP="00E850E2">
      <w:pPr>
        <w:ind w:right="93"/>
        <w:rPr>
          <w:rFonts w:ascii="Times New Roman" w:hAnsi="Times New Roman" w:cs="Times New Roman"/>
          <w:b/>
          <w:bCs/>
          <w:kern w:val="0"/>
          <w:sz w:val="22"/>
          <w:szCs w:val="22"/>
          <w:lang w:val="it-IT"/>
        </w:rPr>
      </w:pPr>
    </w:p>
    <w:p w14:paraId="64A5BF97" w14:textId="77777777" w:rsidR="00E850E2" w:rsidRPr="00F325F3" w:rsidRDefault="00E850E2" w:rsidP="00E850E2">
      <w:pPr>
        <w:ind w:right="93"/>
        <w:rPr>
          <w:rFonts w:ascii="Times New Roman" w:hAnsi="Times New Roman" w:cs="Times New Roman"/>
          <w:b/>
          <w:bCs/>
          <w:kern w:val="0"/>
          <w:sz w:val="22"/>
          <w:szCs w:val="22"/>
          <w:lang w:val="it-IT"/>
        </w:rPr>
      </w:pPr>
    </w:p>
    <w:p w14:paraId="45B3F3A6" w14:textId="77777777" w:rsidR="00E850E2" w:rsidRPr="00F325F3" w:rsidRDefault="00E850E2" w:rsidP="00E850E2">
      <w:pPr>
        <w:ind w:right="93"/>
        <w:rPr>
          <w:rFonts w:ascii="Times New Roman" w:hAnsi="Times New Roman" w:cs="Times New Roman"/>
          <w:b/>
          <w:bCs/>
          <w:kern w:val="0"/>
          <w:sz w:val="22"/>
          <w:szCs w:val="22"/>
          <w:lang w:val="it-IT"/>
        </w:rPr>
      </w:pPr>
    </w:p>
    <w:p w14:paraId="23970172" w14:textId="77777777" w:rsidR="00E850E2" w:rsidRDefault="00E850E2" w:rsidP="00E850E2">
      <w:pPr>
        <w:ind w:right="93"/>
        <w:rPr>
          <w:rFonts w:ascii="Times New Roman" w:hAnsi="Times New Roman" w:cs="Times New Roman"/>
          <w:b/>
          <w:bCs/>
          <w:kern w:val="0"/>
          <w:sz w:val="22"/>
          <w:szCs w:val="22"/>
          <w:lang w:val="it-IT"/>
        </w:rPr>
      </w:pPr>
    </w:p>
    <w:p w14:paraId="731F3998" w14:textId="77777777" w:rsidR="00E850E2" w:rsidRPr="00F325F3" w:rsidRDefault="00E850E2" w:rsidP="00E850E2">
      <w:pPr>
        <w:ind w:right="93"/>
        <w:rPr>
          <w:rFonts w:ascii="Times New Roman" w:hAnsi="Times New Roman" w:cs="Times New Roman"/>
          <w:b/>
          <w:bCs/>
          <w:kern w:val="0"/>
          <w:sz w:val="22"/>
          <w:szCs w:val="22"/>
          <w:lang w:val="it-IT"/>
        </w:rPr>
      </w:pPr>
    </w:p>
    <w:p w14:paraId="0FF16B7E" w14:textId="77777777" w:rsidR="00E850E2" w:rsidRPr="00F325F3" w:rsidRDefault="00E850E2" w:rsidP="00E850E2">
      <w:pPr>
        <w:ind w:right="93"/>
        <w:rPr>
          <w:rFonts w:ascii="Times New Roman" w:hAnsi="Times New Roman" w:cs="Times New Roman"/>
          <w:b/>
          <w:bCs/>
          <w:kern w:val="0"/>
          <w:sz w:val="22"/>
          <w:szCs w:val="22"/>
          <w:lang w:val="it-IT"/>
        </w:rPr>
      </w:pPr>
    </w:p>
    <w:p w14:paraId="3BB56A36" w14:textId="77777777" w:rsidR="00E850E2" w:rsidRDefault="00E850E2" w:rsidP="00E850E2">
      <w:pPr>
        <w:rPr>
          <w:rFonts w:ascii="Times New Roman" w:hAnsi="Times New Roman" w:cs="Times New Roman"/>
          <w:b/>
          <w:bCs/>
          <w:kern w:val="0"/>
          <w:lang w:val="it-IT"/>
        </w:rPr>
      </w:pPr>
      <w:r>
        <w:rPr>
          <w:rFonts w:ascii="Times New Roman" w:hAnsi="Times New Roman" w:cs="Times New Roman"/>
          <w:b/>
          <w:bCs/>
          <w:kern w:val="0"/>
          <w:lang w:val="it-IT"/>
        </w:rPr>
        <w:br w:type="page"/>
      </w:r>
    </w:p>
    <w:p w14:paraId="39B85E41" w14:textId="77777777" w:rsidR="00E850E2" w:rsidRPr="008A3160" w:rsidRDefault="00E850E2" w:rsidP="00E850E2">
      <w:pPr>
        <w:autoSpaceDE w:val="0"/>
        <w:autoSpaceDN w:val="0"/>
        <w:adjustRightInd w:val="0"/>
        <w:ind w:right="93"/>
        <w:rPr>
          <w:rFonts w:ascii="Times New Roman" w:hAnsi="Times New Roman" w:cs="Times New Roman"/>
          <w:b/>
          <w:bCs/>
          <w:kern w:val="0"/>
          <w:lang w:val="it-IT"/>
        </w:rPr>
      </w:pPr>
      <w:proofErr w:type="spellStart"/>
      <w:r w:rsidRPr="008A3160">
        <w:rPr>
          <w:rFonts w:ascii="Times New Roman" w:hAnsi="Times New Roman" w:cs="Times New Roman"/>
          <w:b/>
          <w:bCs/>
          <w:kern w:val="0"/>
          <w:lang w:val="it-IT"/>
        </w:rPr>
        <w:lastRenderedPageBreak/>
        <w:t>Appendix</w:t>
      </w:r>
      <w:proofErr w:type="spellEnd"/>
    </w:p>
    <w:p w14:paraId="7104A5C6" w14:textId="77777777" w:rsidR="00E850E2" w:rsidRPr="008A3160" w:rsidRDefault="00E850E2" w:rsidP="00E850E2">
      <w:pPr>
        <w:autoSpaceDE w:val="0"/>
        <w:autoSpaceDN w:val="0"/>
        <w:adjustRightInd w:val="0"/>
        <w:ind w:right="93"/>
        <w:rPr>
          <w:rFonts w:ascii="Times New Roman" w:hAnsi="Times New Roman" w:cs="Times New Roman"/>
          <w:b/>
          <w:bCs/>
          <w:kern w:val="0"/>
          <w:lang w:val="it-IT"/>
        </w:rPr>
      </w:pPr>
    </w:p>
    <w:p w14:paraId="5A5885AE" w14:textId="77777777" w:rsidR="00E850E2" w:rsidRPr="008A3160" w:rsidRDefault="00E850E2" w:rsidP="00E850E2">
      <w:pPr>
        <w:autoSpaceDE w:val="0"/>
        <w:autoSpaceDN w:val="0"/>
        <w:adjustRightInd w:val="0"/>
        <w:ind w:right="93"/>
        <w:jc w:val="both"/>
        <w:rPr>
          <w:rFonts w:ascii="Times New Roman" w:hAnsi="Times New Roman" w:cs="Times New Roman"/>
          <w:b/>
          <w:bCs/>
          <w:kern w:val="0"/>
          <w:lang w:val="it-IT"/>
        </w:rPr>
      </w:pPr>
      <w:proofErr w:type="spellStart"/>
      <w:r w:rsidRPr="008A3160">
        <w:rPr>
          <w:rFonts w:ascii="Times New Roman" w:hAnsi="Times New Roman" w:cs="Times New Roman"/>
          <w:b/>
          <w:bCs/>
          <w:kern w:val="0"/>
          <w:lang w:val="it-IT"/>
        </w:rPr>
        <w:t>Table</w:t>
      </w:r>
      <w:proofErr w:type="spellEnd"/>
      <w:r w:rsidRPr="008A3160">
        <w:rPr>
          <w:rFonts w:ascii="Times New Roman" w:hAnsi="Times New Roman" w:cs="Times New Roman"/>
          <w:b/>
          <w:bCs/>
          <w:kern w:val="0"/>
          <w:lang w:val="it-IT"/>
        </w:rPr>
        <w:t xml:space="preserve"> A.1 </w:t>
      </w:r>
      <w:proofErr w:type="spellStart"/>
      <w:r w:rsidRPr="008A3160">
        <w:rPr>
          <w:rFonts w:ascii="Times New Roman" w:hAnsi="Times New Roman" w:cs="Times New Roman"/>
          <w:b/>
          <w:bCs/>
          <w:kern w:val="0"/>
          <w:lang w:val="it-IT"/>
        </w:rPr>
        <w:t>Summary</w:t>
      </w:r>
      <w:proofErr w:type="spellEnd"/>
      <w:r w:rsidRPr="008A3160">
        <w:rPr>
          <w:rFonts w:ascii="Times New Roman" w:hAnsi="Times New Roman" w:cs="Times New Roman"/>
          <w:b/>
          <w:bCs/>
          <w:kern w:val="0"/>
          <w:lang w:val="it-IT"/>
        </w:rPr>
        <w:t xml:space="preserve"> </w:t>
      </w:r>
      <w:proofErr w:type="spellStart"/>
      <w:r w:rsidRPr="008A3160">
        <w:rPr>
          <w:rFonts w:ascii="Times New Roman" w:hAnsi="Times New Roman" w:cs="Times New Roman"/>
          <w:b/>
          <w:bCs/>
          <w:kern w:val="0"/>
          <w:lang w:val="it-IT"/>
        </w:rPr>
        <w:t>statistics</w:t>
      </w:r>
      <w:proofErr w:type="spellEnd"/>
      <w:r w:rsidRPr="008A3160">
        <w:rPr>
          <w:rFonts w:ascii="Times New Roman" w:hAnsi="Times New Roman" w:cs="Times New Roman"/>
          <w:b/>
          <w:bCs/>
          <w:kern w:val="0"/>
          <w:lang w:val="it-IT"/>
        </w:rPr>
        <w:t xml:space="preserve"> </w:t>
      </w:r>
    </w:p>
    <w:p w14:paraId="110D3B81" w14:textId="77777777" w:rsidR="00E850E2" w:rsidRPr="008A3160" w:rsidRDefault="00E850E2" w:rsidP="00E850E2">
      <w:pPr>
        <w:autoSpaceDE w:val="0"/>
        <w:autoSpaceDN w:val="0"/>
        <w:adjustRightInd w:val="0"/>
        <w:ind w:right="93"/>
        <w:jc w:val="both"/>
        <w:rPr>
          <w:rFonts w:ascii="Times New Roman" w:hAnsi="Times New Roman" w:cs="Times New Roman"/>
          <w:kern w:val="0"/>
          <w:lang w:val="it-IT"/>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1"/>
        <w:gridCol w:w="849"/>
        <w:gridCol w:w="856"/>
        <w:gridCol w:w="1194"/>
        <w:gridCol w:w="710"/>
        <w:gridCol w:w="849"/>
      </w:tblGrid>
      <w:tr w:rsidR="00E850E2" w:rsidRPr="008A3160" w14:paraId="6762CDCC" w14:textId="77777777" w:rsidTr="00217E39">
        <w:tc>
          <w:tcPr>
            <w:tcW w:w="0" w:type="auto"/>
            <w:gridSpan w:val="6"/>
            <w:tcBorders>
              <w:top w:val="single" w:sz="4" w:space="0" w:color="auto"/>
              <w:bottom w:val="single" w:sz="4" w:space="0" w:color="auto"/>
            </w:tcBorders>
          </w:tcPr>
          <w:p w14:paraId="43B08ECB"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Full Sample</w:t>
            </w:r>
          </w:p>
        </w:tc>
      </w:tr>
      <w:tr w:rsidR="00E850E2" w:rsidRPr="008A3160" w14:paraId="348B30EF" w14:textId="77777777" w:rsidTr="00217E39">
        <w:tc>
          <w:tcPr>
            <w:tcW w:w="0" w:type="auto"/>
            <w:tcBorders>
              <w:top w:val="single" w:sz="4" w:space="0" w:color="auto"/>
              <w:bottom w:val="single" w:sz="4" w:space="0" w:color="auto"/>
            </w:tcBorders>
          </w:tcPr>
          <w:p w14:paraId="547DF2F6"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Variable</w:t>
            </w:r>
          </w:p>
        </w:tc>
        <w:tc>
          <w:tcPr>
            <w:tcW w:w="0" w:type="auto"/>
            <w:tcBorders>
              <w:top w:val="single" w:sz="4" w:space="0" w:color="auto"/>
              <w:bottom w:val="single" w:sz="4" w:space="0" w:color="auto"/>
            </w:tcBorders>
          </w:tcPr>
          <w:p w14:paraId="7EDE97C3" w14:textId="77777777" w:rsidR="00E850E2" w:rsidRPr="008A3160" w:rsidRDefault="00E850E2" w:rsidP="00217E39">
            <w:pPr>
              <w:ind w:right="93"/>
              <w:rPr>
                <w:rFonts w:ascii="Times New Roman" w:hAnsi="Times New Roman" w:cs="Times New Roman"/>
                <w:b/>
                <w:bCs/>
              </w:rPr>
            </w:pPr>
            <w:proofErr w:type="spellStart"/>
            <w:r w:rsidRPr="008A3160">
              <w:rPr>
                <w:rFonts w:ascii="Times New Roman" w:hAnsi="Times New Roman" w:cs="Times New Roman"/>
              </w:rPr>
              <w:t>Obs</w:t>
            </w:r>
            <w:proofErr w:type="spellEnd"/>
          </w:p>
        </w:tc>
        <w:tc>
          <w:tcPr>
            <w:tcW w:w="0" w:type="auto"/>
            <w:tcBorders>
              <w:top w:val="single" w:sz="4" w:space="0" w:color="auto"/>
              <w:bottom w:val="single" w:sz="4" w:space="0" w:color="auto"/>
            </w:tcBorders>
          </w:tcPr>
          <w:p w14:paraId="3C711039"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Mean</w:t>
            </w:r>
          </w:p>
        </w:tc>
        <w:tc>
          <w:tcPr>
            <w:tcW w:w="0" w:type="auto"/>
            <w:tcBorders>
              <w:top w:val="single" w:sz="4" w:space="0" w:color="auto"/>
              <w:bottom w:val="single" w:sz="4" w:space="0" w:color="auto"/>
            </w:tcBorders>
          </w:tcPr>
          <w:p w14:paraId="58882243"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Std. Dev.</w:t>
            </w:r>
          </w:p>
        </w:tc>
        <w:tc>
          <w:tcPr>
            <w:tcW w:w="0" w:type="auto"/>
            <w:tcBorders>
              <w:top w:val="single" w:sz="4" w:space="0" w:color="auto"/>
              <w:bottom w:val="single" w:sz="4" w:space="0" w:color="auto"/>
            </w:tcBorders>
          </w:tcPr>
          <w:p w14:paraId="79975015"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Min</w:t>
            </w:r>
          </w:p>
        </w:tc>
        <w:tc>
          <w:tcPr>
            <w:tcW w:w="0" w:type="auto"/>
            <w:tcBorders>
              <w:top w:val="single" w:sz="4" w:space="0" w:color="auto"/>
              <w:bottom w:val="single" w:sz="4" w:space="0" w:color="auto"/>
            </w:tcBorders>
          </w:tcPr>
          <w:p w14:paraId="3CE83D79"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Max</w:t>
            </w:r>
          </w:p>
        </w:tc>
      </w:tr>
      <w:tr w:rsidR="00E850E2" w:rsidRPr="008A3160" w14:paraId="2BA093AF" w14:textId="77777777" w:rsidTr="00217E39">
        <w:tc>
          <w:tcPr>
            <w:tcW w:w="0" w:type="auto"/>
            <w:tcBorders>
              <w:top w:val="single" w:sz="4" w:space="0" w:color="auto"/>
            </w:tcBorders>
          </w:tcPr>
          <w:p w14:paraId="5AE122D4" w14:textId="77777777" w:rsidR="00E850E2" w:rsidRPr="008A3160" w:rsidRDefault="00E850E2" w:rsidP="00217E39">
            <w:pPr>
              <w:ind w:right="93"/>
              <w:rPr>
                <w:rFonts w:ascii="Times New Roman" w:hAnsi="Times New Roman" w:cs="Times New Roman"/>
                <w:b/>
                <w:bCs/>
                <w:i/>
                <w:iCs/>
              </w:rPr>
            </w:pPr>
            <w:r w:rsidRPr="008A3160">
              <w:rPr>
                <w:rFonts w:ascii="Times New Roman" w:hAnsi="Times New Roman" w:cs="Times New Roman"/>
                <w:i/>
                <w:iCs/>
              </w:rPr>
              <w:t>RTA1025</w:t>
            </w:r>
          </w:p>
        </w:tc>
        <w:tc>
          <w:tcPr>
            <w:tcW w:w="0" w:type="auto"/>
            <w:tcBorders>
              <w:top w:val="single" w:sz="4" w:space="0" w:color="auto"/>
            </w:tcBorders>
          </w:tcPr>
          <w:p w14:paraId="0A020F56"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3,381</w:t>
            </w:r>
          </w:p>
        </w:tc>
        <w:tc>
          <w:tcPr>
            <w:tcW w:w="0" w:type="auto"/>
            <w:tcBorders>
              <w:top w:val="single" w:sz="4" w:space="0" w:color="auto"/>
            </w:tcBorders>
          </w:tcPr>
          <w:p w14:paraId="0C131470"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2.42</w:t>
            </w:r>
          </w:p>
        </w:tc>
        <w:tc>
          <w:tcPr>
            <w:tcW w:w="0" w:type="auto"/>
            <w:tcBorders>
              <w:top w:val="single" w:sz="4" w:space="0" w:color="auto"/>
            </w:tcBorders>
          </w:tcPr>
          <w:p w14:paraId="5303B705"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6.21</w:t>
            </w:r>
          </w:p>
        </w:tc>
        <w:tc>
          <w:tcPr>
            <w:tcW w:w="0" w:type="auto"/>
            <w:tcBorders>
              <w:top w:val="single" w:sz="4" w:space="0" w:color="auto"/>
            </w:tcBorders>
          </w:tcPr>
          <w:p w14:paraId="50912CB5"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0</w:t>
            </w:r>
          </w:p>
        </w:tc>
        <w:tc>
          <w:tcPr>
            <w:tcW w:w="0" w:type="auto"/>
            <w:tcBorders>
              <w:top w:val="single" w:sz="4" w:space="0" w:color="auto"/>
            </w:tcBorders>
          </w:tcPr>
          <w:p w14:paraId="6C6CF930"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32</w:t>
            </w:r>
          </w:p>
        </w:tc>
      </w:tr>
      <w:tr w:rsidR="00E850E2" w:rsidRPr="008A3160" w14:paraId="690C8F50" w14:textId="77777777" w:rsidTr="00217E39">
        <w:tc>
          <w:tcPr>
            <w:tcW w:w="0" w:type="auto"/>
          </w:tcPr>
          <w:p w14:paraId="4A4E73F8" w14:textId="77777777" w:rsidR="00E850E2" w:rsidRPr="008A3160" w:rsidRDefault="00E850E2" w:rsidP="00217E39">
            <w:pPr>
              <w:ind w:right="93"/>
              <w:rPr>
                <w:rFonts w:ascii="Times New Roman" w:hAnsi="Times New Roman" w:cs="Times New Roman"/>
                <w:b/>
                <w:bCs/>
                <w:i/>
                <w:iCs/>
              </w:rPr>
            </w:pPr>
            <w:r w:rsidRPr="008A3160">
              <w:rPr>
                <w:rFonts w:ascii="Times New Roman" w:hAnsi="Times New Roman" w:cs="Times New Roman"/>
                <w:i/>
                <w:iCs/>
              </w:rPr>
              <w:t>RTA1026</w:t>
            </w:r>
          </w:p>
        </w:tc>
        <w:tc>
          <w:tcPr>
            <w:tcW w:w="0" w:type="auto"/>
          </w:tcPr>
          <w:p w14:paraId="3EC3D14D"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3,381</w:t>
            </w:r>
          </w:p>
        </w:tc>
        <w:tc>
          <w:tcPr>
            <w:tcW w:w="0" w:type="auto"/>
          </w:tcPr>
          <w:p w14:paraId="79415980"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1.28</w:t>
            </w:r>
          </w:p>
        </w:tc>
        <w:tc>
          <w:tcPr>
            <w:tcW w:w="0" w:type="auto"/>
          </w:tcPr>
          <w:p w14:paraId="5B137E3B"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5.13</w:t>
            </w:r>
          </w:p>
        </w:tc>
        <w:tc>
          <w:tcPr>
            <w:tcW w:w="0" w:type="auto"/>
          </w:tcPr>
          <w:p w14:paraId="15DE8B82"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0</w:t>
            </w:r>
          </w:p>
        </w:tc>
        <w:tc>
          <w:tcPr>
            <w:tcW w:w="0" w:type="auto"/>
          </w:tcPr>
          <w:p w14:paraId="159AA730"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39</w:t>
            </w:r>
          </w:p>
        </w:tc>
      </w:tr>
      <w:tr w:rsidR="00E850E2" w:rsidRPr="008A3160" w14:paraId="6EE3CA37" w14:textId="77777777" w:rsidTr="00217E39">
        <w:tc>
          <w:tcPr>
            <w:tcW w:w="0" w:type="auto"/>
          </w:tcPr>
          <w:p w14:paraId="21E2D6B7" w14:textId="77777777" w:rsidR="00E850E2" w:rsidRPr="008A3160" w:rsidRDefault="00E850E2" w:rsidP="00217E39">
            <w:pPr>
              <w:ind w:right="93"/>
              <w:rPr>
                <w:rFonts w:ascii="Times New Roman" w:hAnsi="Times New Roman" w:cs="Times New Roman"/>
                <w:b/>
                <w:bCs/>
                <w:i/>
                <w:iCs/>
              </w:rPr>
            </w:pPr>
            <w:proofErr w:type="spellStart"/>
            <w:r w:rsidRPr="008A3160">
              <w:rPr>
                <w:rFonts w:ascii="Times New Roman" w:hAnsi="Times New Roman" w:cs="Times New Roman"/>
                <w:i/>
                <w:iCs/>
              </w:rPr>
              <w:t>envTBT</w:t>
            </w:r>
            <w:proofErr w:type="spellEnd"/>
          </w:p>
        </w:tc>
        <w:tc>
          <w:tcPr>
            <w:tcW w:w="0" w:type="auto"/>
          </w:tcPr>
          <w:p w14:paraId="1653FE7A"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3,381</w:t>
            </w:r>
          </w:p>
        </w:tc>
        <w:tc>
          <w:tcPr>
            <w:tcW w:w="0" w:type="auto"/>
          </w:tcPr>
          <w:p w14:paraId="2F56598D"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32.78</w:t>
            </w:r>
          </w:p>
        </w:tc>
        <w:tc>
          <w:tcPr>
            <w:tcW w:w="0" w:type="auto"/>
          </w:tcPr>
          <w:p w14:paraId="1EB637CA"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61.87</w:t>
            </w:r>
          </w:p>
        </w:tc>
        <w:tc>
          <w:tcPr>
            <w:tcW w:w="0" w:type="auto"/>
          </w:tcPr>
          <w:p w14:paraId="4F86F163"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0</w:t>
            </w:r>
          </w:p>
        </w:tc>
        <w:tc>
          <w:tcPr>
            <w:tcW w:w="0" w:type="auto"/>
          </w:tcPr>
          <w:p w14:paraId="06E734DE"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583</w:t>
            </w:r>
          </w:p>
        </w:tc>
      </w:tr>
      <w:tr w:rsidR="00E850E2" w:rsidRPr="008A3160" w14:paraId="2852EE51" w14:textId="77777777" w:rsidTr="00217E39">
        <w:tc>
          <w:tcPr>
            <w:tcW w:w="0" w:type="auto"/>
          </w:tcPr>
          <w:p w14:paraId="33D18835" w14:textId="77777777" w:rsidR="00E850E2" w:rsidRPr="008A3160" w:rsidRDefault="00E850E2" w:rsidP="00217E39">
            <w:pPr>
              <w:ind w:right="93"/>
              <w:rPr>
                <w:rFonts w:ascii="Times New Roman" w:hAnsi="Times New Roman" w:cs="Times New Roman"/>
                <w:b/>
                <w:bCs/>
                <w:i/>
                <w:iCs/>
              </w:rPr>
            </w:pPr>
            <w:proofErr w:type="spellStart"/>
            <w:r w:rsidRPr="008A3160">
              <w:rPr>
                <w:rFonts w:ascii="Times New Roman" w:hAnsi="Times New Roman" w:cs="Times New Roman"/>
                <w:i/>
                <w:iCs/>
              </w:rPr>
              <w:t>Tpes</w:t>
            </w:r>
            <w:proofErr w:type="spellEnd"/>
          </w:p>
        </w:tc>
        <w:tc>
          <w:tcPr>
            <w:tcW w:w="0" w:type="auto"/>
          </w:tcPr>
          <w:p w14:paraId="08632635"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2,471</w:t>
            </w:r>
          </w:p>
        </w:tc>
        <w:tc>
          <w:tcPr>
            <w:tcW w:w="0" w:type="auto"/>
          </w:tcPr>
          <w:p w14:paraId="5EBD87A2"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4.59</w:t>
            </w:r>
          </w:p>
        </w:tc>
        <w:tc>
          <w:tcPr>
            <w:tcW w:w="0" w:type="auto"/>
          </w:tcPr>
          <w:p w14:paraId="28093D86"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5.11</w:t>
            </w:r>
          </w:p>
        </w:tc>
        <w:tc>
          <w:tcPr>
            <w:tcW w:w="0" w:type="auto"/>
          </w:tcPr>
          <w:p w14:paraId="058A1832"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0</w:t>
            </w:r>
          </w:p>
        </w:tc>
        <w:tc>
          <w:tcPr>
            <w:tcW w:w="0" w:type="auto"/>
          </w:tcPr>
          <w:p w14:paraId="1DCEF9D4" w14:textId="77777777" w:rsidR="00E850E2" w:rsidRPr="008A3160" w:rsidRDefault="00E850E2" w:rsidP="00217E39">
            <w:pPr>
              <w:ind w:right="93"/>
              <w:rPr>
                <w:rFonts w:ascii="Times New Roman" w:hAnsi="Times New Roman" w:cs="Times New Roman"/>
                <w:b/>
                <w:bCs/>
              </w:rPr>
            </w:pPr>
            <w:r w:rsidRPr="008A3160">
              <w:rPr>
                <w:rFonts w:ascii="Times New Roman" w:hAnsi="Times New Roman" w:cs="Times New Roman"/>
              </w:rPr>
              <w:t>52.06</w:t>
            </w:r>
          </w:p>
        </w:tc>
      </w:tr>
      <w:tr w:rsidR="00E850E2" w:rsidRPr="008A3160" w14:paraId="66B6D8C4" w14:textId="77777777" w:rsidTr="00217E39">
        <w:tc>
          <w:tcPr>
            <w:tcW w:w="0" w:type="auto"/>
          </w:tcPr>
          <w:p w14:paraId="108D6B07" w14:textId="77777777" w:rsidR="00E850E2" w:rsidRPr="008A3160" w:rsidRDefault="00E850E2" w:rsidP="00217E39">
            <w:pPr>
              <w:ind w:right="93"/>
              <w:rPr>
                <w:rFonts w:ascii="Times New Roman" w:hAnsi="Times New Roman" w:cs="Times New Roman"/>
                <w:i/>
                <w:iCs/>
              </w:rPr>
            </w:pPr>
            <w:proofErr w:type="spellStart"/>
            <w:r w:rsidRPr="008A3160">
              <w:rPr>
                <w:rFonts w:ascii="Times New Roman" w:hAnsi="Times New Roman" w:cs="Times New Roman"/>
                <w:i/>
                <w:iCs/>
              </w:rPr>
              <w:t>Tfert</w:t>
            </w:r>
            <w:proofErr w:type="spellEnd"/>
          </w:p>
        </w:tc>
        <w:tc>
          <w:tcPr>
            <w:tcW w:w="0" w:type="auto"/>
          </w:tcPr>
          <w:p w14:paraId="1C4F979A"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2,474</w:t>
            </w:r>
          </w:p>
        </w:tc>
        <w:tc>
          <w:tcPr>
            <w:tcW w:w="0" w:type="auto"/>
          </w:tcPr>
          <w:p w14:paraId="3477C14B"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2.25</w:t>
            </w:r>
          </w:p>
        </w:tc>
        <w:tc>
          <w:tcPr>
            <w:tcW w:w="0" w:type="auto"/>
          </w:tcPr>
          <w:p w14:paraId="713F259F"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3.62</w:t>
            </w:r>
          </w:p>
        </w:tc>
        <w:tc>
          <w:tcPr>
            <w:tcW w:w="0" w:type="auto"/>
          </w:tcPr>
          <w:p w14:paraId="1E933AA0"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113CDB54"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35.59</w:t>
            </w:r>
          </w:p>
        </w:tc>
      </w:tr>
      <w:tr w:rsidR="00E850E2" w:rsidRPr="008A3160" w14:paraId="7FB75578" w14:textId="77777777" w:rsidTr="00217E39">
        <w:tc>
          <w:tcPr>
            <w:tcW w:w="0" w:type="auto"/>
          </w:tcPr>
          <w:p w14:paraId="0FA6BA56" w14:textId="77777777" w:rsidR="00E850E2" w:rsidRPr="008A3160" w:rsidRDefault="00E850E2" w:rsidP="00217E39">
            <w:pPr>
              <w:ind w:right="93"/>
              <w:rPr>
                <w:rFonts w:ascii="Times New Roman" w:hAnsi="Times New Roman" w:cs="Times New Roman"/>
                <w:i/>
                <w:iCs/>
              </w:rPr>
            </w:pPr>
            <w:proofErr w:type="spellStart"/>
            <w:r w:rsidRPr="008A3160">
              <w:rPr>
                <w:rFonts w:ascii="Times New Roman" w:hAnsi="Times New Roman" w:cs="Times New Roman"/>
                <w:i/>
                <w:iCs/>
              </w:rPr>
              <w:t>Tagrtrade</w:t>
            </w:r>
            <w:proofErr w:type="spellEnd"/>
          </w:p>
        </w:tc>
        <w:tc>
          <w:tcPr>
            <w:tcW w:w="0" w:type="auto"/>
          </w:tcPr>
          <w:p w14:paraId="0A4734A3"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2,484</w:t>
            </w:r>
          </w:p>
        </w:tc>
        <w:tc>
          <w:tcPr>
            <w:tcW w:w="0" w:type="auto"/>
          </w:tcPr>
          <w:p w14:paraId="68BAF7F3"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8.86</w:t>
            </w:r>
          </w:p>
        </w:tc>
        <w:tc>
          <w:tcPr>
            <w:tcW w:w="0" w:type="auto"/>
          </w:tcPr>
          <w:p w14:paraId="67C721F5"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8.41</w:t>
            </w:r>
          </w:p>
        </w:tc>
        <w:tc>
          <w:tcPr>
            <w:tcW w:w="0" w:type="auto"/>
          </w:tcPr>
          <w:p w14:paraId="5D6E976F"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76B45895"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73.69</w:t>
            </w:r>
          </w:p>
        </w:tc>
      </w:tr>
      <w:tr w:rsidR="00E850E2" w:rsidRPr="008A3160" w14:paraId="234460D2" w14:textId="77777777" w:rsidTr="00217E39">
        <w:tc>
          <w:tcPr>
            <w:tcW w:w="0" w:type="auto"/>
            <w:tcBorders>
              <w:bottom w:val="single" w:sz="4" w:space="0" w:color="auto"/>
            </w:tcBorders>
          </w:tcPr>
          <w:p w14:paraId="3756DAD9" w14:textId="77777777" w:rsidR="00E850E2" w:rsidRPr="008A3160" w:rsidRDefault="00E850E2" w:rsidP="00217E39">
            <w:pPr>
              <w:ind w:right="93"/>
              <w:rPr>
                <w:rFonts w:ascii="Times New Roman" w:hAnsi="Times New Roman" w:cs="Times New Roman"/>
                <w:i/>
                <w:iCs/>
              </w:rPr>
            </w:pPr>
            <w:r w:rsidRPr="008A3160">
              <w:rPr>
                <w:rFonts w:ascii="Times New Roman" w:hAnsi="Times New Roman" w:cs="Times New Roman"/>
                <w:i/>
                <w:iCs/>
              </w:rPr>
              <w:t>EPI score</w:t>
            </w:r>
          </w:p>
        </w:tc>
        <w:tc>
          <w:tcPr>
            <w:tcW w:w="0" w:type="auto"/>
            <w:tcBorders>
              <w:bottom w:val="single" w:sz="4" w:space="0" w:color="auto"/>
            </w:tcBorders>
          </w:tcPr>
          <w:p w14:paraId="1A169339"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2,484</w:t>
            </w:r>
          </w:p>
        </w:tc>
        <w:tc>
          <w:tcPr>
            <w:tcW w:w="0" w:type="auto"/>
            <w:tcBorders>
              <w:bottom w:val="single" w:sz="4" w:space="0" w:color="auto"/>
            </w:tcBorders>
          </w:tcPr>
          <w:p w14:paraId="6F1AA3C2"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41.14</w:t>
            </w:r>
          </w:p>
        </w:tc>
        <w:tc>
          <w:tcPr>
            <w:tcW w:w="0" w:type="auto"/>
            <w:tcBorders>
              <w:bottom w:val="single" w:sz="4" w:space="0" w:color="auto"/>
            </w:tcBorders>
          </w:tcPr>
          <w:p w14:paraId="6C093033"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17.64</w:t>
            </w:r>
          </w:p>
        </w:tc>
        <w:tc>
          <w:tcPr>
            <w:tcW w:w="0" w:type="auto"/>
            <w:tcBorders>
              <w:bottom w:val="single" w:sz="4" w:space="0" w:color="auto"/>
            </w:tcBorders>
          </w:tcPr>
          <w:p w14:paraId="378B15EE"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Borders>
              <w:bottom w:val="single" w:sz="4" w:space="0" w:color="auto"/>
            </w:tcBorders>
          </w:tcPr>
          <w:p w14:paraId="6DD5199C"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98.91</w:t>
            </w:r>
          </w:p>
        </w:tc>
      </w:tr>
    </w:tbl>
    <w:p w14:paraId="11432864" w14:textId="77777777" w:rsidR="00E850E2" w:rsidRPr="008A3160" w:rsidRDefault="00E850E2" w:rsidP="00E850E2">
      <w:pPr>
        <w:ind w:right="93"/>
        <w:rPr>
          <w:rFonts w:ascii="Times New Roman" w:hAnsi="Times New Roman" w:cs="Times New Roman"/>
          <w:b/>
          <w:bC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1"/>
        <w:gridCol w:w="849"/>
        <w:gridCol w:w="856"/>
        <w:gridCol w:w="1194"/>
        <w:gridCol w:w="710"/>
        <w:gridCol w:w="849"/>
      </w:tblGrid>
      <w:tr w:rsidR="00E850E2" w:rsidRPr="008A3160" w14:paraId="0B768000" w14:textId="77777777" w:rsidTr="00217E39">
        <w:tc>
          <w:tcPr>
            <w:tcW w:w="0" w:type="auto"/>
            <w:gridSpan w:val="6"/>
            <w:tcBorders>
              <w:top w:val="single" w:sz="4" w:space="0" w:color="auto"/>
              <w:bottom w:val="single" w:sz="4" w:space="0" w:color="auto"/>
            </w:tcBorders>
          </w:tcPr>
          <w:p w14:paraId="58713E79"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Developed Countries Subsample</w:t>
            </w:r>
          </w:p>
        </w:tc>
      </w:tr>
      <w:tr w:rsidR="00E850E2" w:rsidRPr="008A3160" w14:paraId="653E90FC" w14:textId="77777777" w:rsidTr="00217E39">
        <w:tc>
          <w:tcPr>
            <w:tcW w:w="0" w:type="auto"/>
            <w:tcBorders>
              <w:top w:val="single" w:sz="4" w:space="0" w:color="auto"/>
              <w:bottom w:val="single" w:sz="4" w:space="0" w:color="auto"/>
            </w:tcBorders>
          </w:tcPr>
          <w:p w14:paraId="5C1943E2"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Variable</w:t>
            </w:r>
          </w:p>
        </w:tc>
        <w:tc>
          <w:tcPr>
            <w:tcW w:w="0" w:type="auto"/>
            <w:tcBorders>
              <w:top w:val="single" w:sz="4" w:space="0" w:color="auto"/>
              <w:bottom w:val="single" w:sz="4" w:space="0" w:color="auto"/>
            </w:tcBorders>
          </w:tcPr>
          <w:p w14:paraId="504E24AB" w14:textId="77777777" w:rsidR="00E850E2" w:rsidRPr="008A3160" w:rsidRDefault="00E850E2" w:rsidP="00217E39">
            <w:pPr>
              <w:ind w:right="93"/>
              <w:rPr>
                <w:rFonts w:ascii="Times New Roman" w:hAnsi="Times New Roman" w:cs="Times New Roman"/>
              </w:rPr>
            </w:pPr>
            <w:proofErr w:type="spellStart"/>
            <w:r w:rsidRPr="008A3160">
              <w:rPr>
                <w:rFonts w:ascii="Times New Roman" w:hAnsi="Times New Roman" w:cs="Times New Roman"/>
              </w:rPr>
              <w:t>Obs</w:t>
            </w:r>
            <w:proofErr w:type="spellEnd"/>
          </w:p>
        </w:tc>
        <w:tc>
          <w:tcPr>
            <w:tcW w:w="0" w:type="auto"/>
            <w:tcBorders>
              <w:top w:val="single" w:sz="4" w:space="0" w:color="auto"/>
              <w:bottom w:val="single" w:sz="4" w:space="0" w:color="auto"/>
            </w:tcBorders>
          </w:tcPr>
          <w:p w14:paraId="60E19FB7"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Mean</w:t>
            </w:r>
          </w:p>
        </w:tc>
        <w:tc>
          <w:tcPr>
            <w:tcW w:w="0" w:type="auto"/>
            <w:tcBorders>
              <w:top w:val="single" w:sz="4" w:space="0" w:color="auto"/>
              <w:bottom w:val="single" w:sz="4" w:space="0" w:color="auto"/>
            </w:tcBorders>
          </w:tcPr>
          <w:p w14:paraId="4AB92963"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Std. Dev.</w:t>
            </w:r>
          </w:p>
        </w:tc>
        <w:tc>
          <w:tcPr>
            <w:tcW w:w="0" w:type="auto"/>
            <w:tcBorders>
              <w:top w:val="single" w:sz="4" w:space="0" w:color="auto"/>
              <w:bottom w:val="single" w:sz="4" w:space="0" w:color="auto"/>
            </w:tcBorders>
          </w:tcPr>
          <w:p w14:paraId="3C75A91C"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Min</w:t>
            </w:r>
          </w:p>
        </w:tc>
        <w:tc>
          <w:tcPr>
            <w:tcW w:w="0" w:type="auto"/>
            <w:tcBorders>
              <w:top w:val="single" w:sz="4" w:space="0" w:color="auto"/>
              <w:bottom w:val="single" w:sz="4" w:space="0" w:color="auto"/>
            </w:tcBorders>
          </w:tcPr>
          <w:p w14:paraId="08E57177"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Max</w:t>
            </w:r>
          </w:p>
        </w:tc>
      </w:tr>
      <w:tr w:rsidR="00E850E2" w:rsidRPr="008A3160" w14:paraId="56E9C219" w14:textId="77777777" w:rsidTr="00217E39">
        <w:tc>
          <w:tcPr>
            <w:tcW w:w="0" w:type="auto"/>
          </w:tcPr>
          <w:p w14:paraId="2C4CFA93" w14:textId="77777777" w:rsidR="00E850E2" w:rsidRPr="008A3160" w:rsidRDefault="00E850E2" w:rsidP="00217E39">
            <w:pPr>
              <w:ind w:right="93"/>
              <w:rPr>
                <w:rFonts w:ascii="Times New Roman" w:hAnsi="Times New Roman" w:cs="Times New Roman"/>
                <w:i/>
                <w:iCs/>
              </w:rPr>
            </w:pPr>
            <w:r w:rsidRPr="008A3160">
              <w:rPr>
                <w:rFonts w:ascii="Times New Roman" w:hAnsi="Times New Roman" w:cs="Times New Roman"/>
                <w:i/>
                <w:iCs/>
              </w:rPr>
              <w:t>RTA1025</w:t>
            </w:r>
          </w:p>
        </w:tc>
        <w:tc>
          <w:tcPr>
            <w:tcW w:w="0" w:type="auto"/>
          </w:tcPr>
          <w:p w14:paraId="2035A9E1"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1,538</w:t>
            </w:r>
          </w:p>
        </w:tc>
        <w:tc>
          <w:tcPr>
            <w:tcW w:w="0" w:type="auto"/>
          </w:tcPr>
          <w:p w14:paraId="45C2D35C"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2.92</w:t>
            </w:r>
          </w:p>
        </w:tc>
        <w:tc>
          <w:tcPr>
            <w:tcW w:w="0" w:type="auto"/>
          </w:tcPr>
          <w:p w14:paraId="5E335A38"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7.52</w:t>
            </w:r>
          </w:p>
        </w:tc>
        <w:tc>
          <w:tcPr>
            <w:tcW w:w="0" w:type="auto"/>
          </w:tcPr>
          <w:p w14:paraId="73190276"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21806D31"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32</w:t>
            </w:r>
          </w:p>
        </w:tc>
      </w:tr>
      <w:tr w:rsidR="00E850E2" w:rsidRPr="008A3160" w14:paraId="37F1D184" w14:textId="77777777" w:rsidTr="00217E39">
        <w:tc>
          <w:tcPr>
            <w:tcW w:w="0" w:type="auto"/>
          </w:tcPr>
          <w:p w14:paraId="60C815FE" w14:textId="77777777" w:rsidR="00E850E2" w:rsidRPr="008A3160" w:rsidRDefault="00E850E2" w:rsidP="00217E39">
            <w:pPr>
              <w:ind w:right="93"/>
              <w:rPr>
                <w:rFonts w:ascii="Times New Roman" w:hAnsi="Times New Roman" w:cs="Times New Roman"/>
                <w:i/>
                <w:iCs/>
              </w:rPr>
            </w:pPr>
            <w:proofErr w:type="spellStart"/>
            <w:r w:rsidRPr="008A3160">
              <w:rPr>
                <w:rFonts w:ascii="Times New Roman" w:hAnsi="Times New Roman" w:cs="Times New Roman"/>
                <w:i/>
                <w:iCs/>
              </w:rPr>
              <w:t>Tpes</w:t>
            </w:r>
            <w:proofErr w:type="spellEnd"/>
          </w:p>
        </w:tc>
        <w:tc>
          <w:tcPr>
            <w:tcW w:w="0" w:type="auto"/>
          </w:tcPr>
          <w:p w14:paraId="7700941A"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1,241</w:t>
            </w:r>
          </w:p>
        </w:tc>
        <w:tc>
          <w:tcPr>
            <w:tcW w:w="0" w:type="auto"/>
          </w:tcPr>
          <w:p w14:paraId="6C3E99AF"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3.07</w:t>
            </w:r>
          </w:p>
        </w:tc>
        <w:tc>
          <w:tcPr>
            <w:tcW w:w="0" w:type="auto"/>
          </w:tcPr>
          <w:p w14:paraId="389AD286"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3.26</w:t>
            </w:r>
          </w:p>
        </w:tc>
        <w:tc>
          <w:tcPr>
            <w:tcW w:w="0" w:type="auto"/>
          </w:tcPr>
          <w:p w14:paraId="268B3393"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45466086"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30.37</w:t>
            </w:r>
          </w:p>
        </w:tc>
      </w:tr>
      <w:tr w:rsidR="00E850E2" w:rsidRPr="008A3160" w14:paraId="59742E3D" w14:textId="77777777" w:rsidTr="00217E39">
        <w:tc>
          <w:tcPr>
            <w:tcW w:w="0" w:type="auto"/>
          </w:tcPr>
          <w:p w14:paraId="52FF90D0" w14:textId="77777777" w:rsidR="00E850E2" w:rsidRPr="008A3160" w:rsidRDefault="00E850E2" w:rsidP="00217E39">
            <w:pPr>
              <w:ind w:right="93"/>
              <w:rPr>
                <w:rFonts w:ascii="Times New Roman" w:hAnsi="Times New Roman" w:cs="Times New Roman"/>
                <w:i/>
                <w:iCs/>
              </w:rPr>
            </w:pPr>
            <w:proofErr w:type="spellStart"/>
            <w:r w:rsidRPr="008A3160">
              <w:rPr>
                <w:rFonts w:ascii="Times New Roman" w:hAnsi="Times New Roman" w:cs="Times New Roman"/>
                <w:i/>
                <w:iCs/>
              </w:rPr>
              <w:t>Tfert</w:t>
            </w:r>
            <w:proofErr w:type="spellEnd"/>
          </w:p>
        </w:tc>
        <w:tc>
          <w:tcPr>
            <w:tcW w:w="0" w:type="auto"/>
          </w:tcPr>
          <w:p w14:paraId="31636FED"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1,235</w:t>
            </w:r>
          </w:p>
        </w:tc>
        <w:tc>
          <w:tcPr>
            <w:tcW w:w="0" w:type="auto"/>
          </w:tcPr>
          <w:p w14:paraId="4EC9B44F"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1.76</w:t>
            </w:r>
          </w:p>
        </w:tc>
        <w:tc>
          <w:tcPr>
            <w:tcW w:w="0" w:type="auto"/>
          </w:tcPr>
          <w:p w14:paraId="2B17130B"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2.41</w:t>
            </w:r>
          </w:p>
        </w:tc>
        <w:tc>
          <w:tcPr>
            <w:tcW w:w="0" w:type="auto"/>
          </w:tcPr>
          <w:p w14:paraId="2F424664"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1C93496A"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19.73</w:t>
            </w:r>
          </w:p>
        </w:tc>
      </w:tr>
      <w:tr w:rsidR="00E850E2" w:rsidRPr="008A3160" w14:paraId="3986C151" w14:textId="77777777" w:rsidTr="00217E39">
        <w:tc>
          <w:tcPr>
            <w:tcW w:w="0" w:type="auto"/>
          </w:tcPr>
          <w:p w14:paraId="591EC5FB" w14:textId="77777777" w:rsidR="00E850E2" w:rsidRPr="008A3160" w:rsidRDefault="00E850E2" w:rsidP="00217E39">
            <w:pPr>
              <w:ind w:right="93"/>
              <w:rPr>
                <w:rFonts w:ascii="Times New Roman" w:hAnsi="Times New Roman" w:cs="Times New Roman"/>
                <w:i/>
                <w:iCs/>
              </w:rPr>
            </w:pPr>
            <w:proofErr w:type="spellStart"/>
            <w:r w:rsidRPr="008A3160">
              <w:rPr>
                <w:rFonts w:ascii="Times New Roman" w:hAnsi="Times New Roman" w:cs="Times New Roman"/>
                <w:i/>
                <w:iCs/>
              </w:rPr>
              <w:t>Tagrtrade</w:t>
            </w:r>
            <w:proofErr w:type="spellEnd"/>
          </w:p>
        </w:tc>
        <w:tc>
          <w:tcPr>
            <w:tcW w:w="0" w:type="auto"/>
          </w:tcPr>
          <w:p w14:paraId="0C9E16A3"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1,242</w:t>
            </w:r>
          </w:p>
        </w:tc>
        <w:tc>
          <w:tcPr>
            <w:tcW w:w="0" w:type="auto"/>
          </w:tcPr>
          <w:p w14:paraId="27D726A3"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5.69</w:t>
            </w:r>
          </w:p>
        </w:tc>
        <w:tc>
          <w:tcPr>
            <w:tcW w:w="0" w:type="auto"/>
          </w:tcPr>
          <w:p w14:paraId="03F1F045"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7.37</w:t>
            </w:r>
          </w:p>
        </w:tc>
        <w:tc>
          <w:tcPr>
            <w:tcW w:w="0" w:type="auto"/>
          </w:tcPr>
          <w:p w14:paraId="739B2B41"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22D7528D"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48.37</w:t>
            </w:r>
          </w:p>
        </w:tc>
      </w:tr>
      <w:tr w:rsidR="00E850E2" w:rsidRPr="008A3160" w14:paraId="0C42AFD1" w14:textId="77777777" w:rsidTr="00217E39">
        <w:tc>
          <w:tcPr>
            <w:tcW w:w="0" w:type="auto"/>
            <w:tcBorders>
              <w:bottom w:val="single" w:sz="4" w:space="0" w:color="auto"/>
            </w:tcBorders>
          </w:tcPr>
          <w:p w14:paraId="01B30EF4" w14:textId="77777777" w:rsidR="00E850E2" w:rsidRPr="008A3160" w:rsidRDefault="00E850E2" w:rsidP="00217E39">
            <w:pPr>
              <w:ind w:right="93"/>
              <w:rPr>
                <w:rFonts w:ascii="Times New Roman" w:hAnsi="Times New Roman" w:cs="Times New Roman"/>
                <w:i/>
                <w:iCs/>
              </w:rPr>
            </w:pPr>
            <w:r w:rsidRPr="008A3160">
              <w:rPr>
                <w:rFonts w:ascii="Times New Roman" w:hAnsi="Times New Roman" w:cs="Times New Roman"/>
                <w:i/>
                <w:iCs/>
              </w:rPr>
              <w:t>EPI score</w:t>
            </w:r>
          </w:p>
        </w:tc>
        <w:tc>
          <w:tcPr>
            <w:tcW w:w="0" w:type="auto"/>
            <w:tcBorders>
              <w:bottom w:val="single" w:sz="4" w:space="0" w:color="auto"/>
            </w:tcBorders>
          </w:tcPr>
          <w:p w14:paraId="4D5167E7"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1,242</w:t>
            </w:r>
          </w:p>
        </w:tc>
        <w:tc>
          <w:tcPr>
            <w:tcW w:w="0" w:type="auto"/>
            <w:tcBorders>
              <w:bottom w:val="single" w:sz="4" w:space="0" w:color="auto"/>
            </w:tcBorders>
          </w:tcPr>
          <w:p w14:paraId="470BEAC7"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44.95</w:t>
            </w:r>
          </w:p>
        </w:tc>
        <w:tc>
          <w:tcPr>
            <w:tcW w:w="0" w:type="auto"/>
            <w:tcBorders>
              <w:bottom w:val="single" w:sz="4" w:space="0" w:color="auto"/>
            </w:tcBorders>
          </w:tcPr>
          <w:p w14:paraId="2F3AA751"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20.53</w:t>
            </w:r>
          </w:p>
        </w:tc>
        <w:tc>
          <w:tcPr>
            <w:tcW w:w="0" w:type="auto"/>
            <w:tcBorders>
              <w:bottom w:val="single" w:sz="4" w:space="0" w:color="auto"/>
            </w:tcBorders>
          </w:tcPr>
          <w:p w14:paraId="78318BCA"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Borders>
              <w:bottom w:val="single" w:sz="4" w:space="0" w:color="auto"/>
            </w:tcBorders>
          </w:tcPr>
          <w:p w14:paraId="1FCCBB85"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98.91</w:t>
            </w:r>
          </w:p>
        </w:tc>
      </w:tr>
    </w:tbl>
    <w:p w14:paraId="755F97E0" w14:textId="77777777" w:rsidR="00E850E2" w:rsidRPr="008A3160" w:rsidRDefault="00E850E2" w:rsidP="00E850E2">
      <w:pPr>
        <w:ind w:right="93"/>
        <w:rPr>
          <w:rFonts w:ascii="Times New Roman" w:hAnsi="Times New Roman" w:cs="Times New Roman"/>
          <w:b/>
          <w:bC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1"/>
        <w:gridCol w:w="849"/>
        <w:gridCol w:w="856"/>
        <w:gridCol w:w="1194"/>
        <w:gridCol w:w="729"/>
        <w:gridCol w:w="849"/>
      </w:tblGrid>
      <w:tr w:rsidR="00E850E2" w:rsidRPr="008A3160" w14:paraId="45535B96" w14:textId="77777777" w:rsidTr="00217E39">
        <w:tc>
          <w:tcPr>
            <w:tcW w:w="0" w:type="auto"/>
            <w:gridSpan w:val="6"/>
            <w:tcBorders>
              <w:top w:val="single" w:sz="4" w:space="0" w:color="auto"/>
              <w:bottom w:val="single" w:sz="4" w:space="0" w:color="auto"/>
            </w:tcBorders>
          </w:tcPr>
          <w:p w14:paraId="6F5259FE"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Developing Countries Subsample</w:t>
            </w:r>
          </w:p>
        </w:tc>
      </w:tr>
      <w:tr w:rsidR="00E850E2" w:rsidRPr="008A3160" w14:paraId="5417BCB8" w14:textId="77777777" w:rsidTr="00217E39">
        <w:tc>
          <w:tcPr>
            <w:tcW w:w="0" w:type="auto"/>
            <w:tcBorders>
              <w:top w:val="single" w:sz="4" w:space="0" w:color="auto"/>
              <w:bottom w:val="single" w:sz="4" w:space="0" w:color="auto"/>
            </w:tcBorders>
          </w:tcPr>
          <w:p w14:paraId="29ED5C24"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Variable</w:t>
            </w:r>
          </w:p>
        </w:tc>
        <w:tc>
          <w:tcPr>
            <w:tcW w:w="0" w:type="auto"/>
            <w:tcBorders>
              <w:top w:val="single" w:sz="4" w:space="0" w:color="auto"/>
              <w:bottom w:val="single" w:sz="4" w:space="0" w:color="auto"/>
            </w:tcBorders>
          </w:tcPr>
          <w:p w14:paraId="11F491F8" w14:textId="77777777" w:rsidR="00E850E2" w:rsidRPr="008A3160" w:rsidRDefault="00E850E2" w:rsidP="00217E39">
            <w:pPr>
              <w:ind w:right="93"/>
              <w:rPr>
                <w:rFonts w:ascii="Times New Roman" w:hAnsi="Times New Roman" w:cs="Times New Roman"/>
              </w:rPr>
            </w:pPr>
            <w:proofErr w:type="spellStart"/>
            <w:r w:rsidRPr="008A3160">
              <w:rPr>
                <w:rFonts w:ascii="Times New Roman" w:hAnsi="Times New Roman" w:cs="Times New Roman"/>
              </w:rPr>
              <w:t>Obs</w:t>
            </w:r>
            <w:proofErr w:type="spellEnd"/>
          </w:p>
        </w:tc>
        <w:tc>
          <w:tcPr>
            <w:tcW w:w="0" w:type="auto"/>
            <w:tcBorders>
              <w:top w:val="single" w:sz="4" w:space="0" w:color="auto"/>
              <w:bottom w:val="single" w:sz="4" w:space="0" w:color="auto"/>
            </w:tcBorders>
          </w:tcPr>
          <w:p w14:paraId="6E90961B"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Mean</w:t>
            </w:r>
          </w:p>
        </w:tc>
        <w:tc>
          <w:tcPr>
            <w:tcW w:w="0" w:type="auto"/>
            <w:tcBorders>
              <w:top w:val="single" w:sz="4" w:space="0" w:color="auto"/>
              <w:bottom w:val="single" w:sz="4" w:space="0" w:color="auto"/>
            </w:tcBorders>
          </w:tcPr>
          <w:p w14:paraId="3BDB80CC"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Std. Dev.</w:t>
            </w:r>
          </w:p>
        </w:tc>
        <w:tc>
          <w:tcPr>
            <w:tcW w:w="0" w:type="auto"/>
            <w:tcBorders>
              <w:top w:val="single" w:sz="4" w:space="0" w:color="auto"/>
              <w:bottom w:val="single" w:sz="4" w:space="0" w:color="auto"/>
            </w:tcBorders>
          </w:tcPr>
          <w:p w14:paraId="6EE8D6AB"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Min</w:t>
            </w:r>
          </w:p>
        </w:tc>
        <w:tc>
          <w:tcPr>
            <w:tcW w:w="0" w:type="auto"/>
            <w:tcBorders>
              <w:top w:val="single" w:sz="4" w:space="0" w:color="auto"/>
              <w:bottom w:val="single" w:sz="4" w:space="0" w:color="auto"/>
            </w:tcBorders>
          </w:tcPr>
          <w:p w14:paraId="75803FAD"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Max</w:t>
            </w:r>
          </w:p>
        </w:tc>
      </w:tr>
      <w:tr w:rsidR="00E850E2" w:rsidRPr="008A3160" w14:paraId="09E39B6A" w14:textId="77777777" w:rsidTr="00217E39">
        <w:tc>
          <w:tcPr>
            <w:tcW w:w="0" w:type="auto"/>
          </w:tcPr>
          <w:p w14:paraId="2DAFB5D6" w14:textId="77777777" w:rsidR="00E850E2" w:rsidRPr="008A3160" w:rsidRDefault="00E850E2" w:rsidP="00217E39">
            <w:pPr>
              <w:ind w:right="93"/>
              <w:rPr>
                <w:rFonts w:ascii="Times New Roman" w:hAnsi="Times New Roman" w:cs="Times New Roman"/>
                <w:i/>
                <w:iCs/>
              </w:rPr>
            </w:pPr>
            <w:r w:rsidRPr="008A3160">
              <w:rPr>
                <w:rFonts w:ascii="Times New Roman" w:hAnsi="Times New Roman" w:cs="Times New Roman"/>
                <w:i/>
                <w:iCs/>
              </w:rPr>
              <w:t>RTA1025</w:t>
            </w:r>
          </w:p>
        </w:tc>
        <w:tc>
          <w:tcPr>
            <w:tcW w:w="0" w:type="auto"/>
          </w:tcPr>
          <w:p w14:paraId="48DFA829"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1,768</w:t>
            </w:r>
          </w:p>
        </w:tc>
        <w:tc>
          <w:tcPr>
            <w:tcW w:w="0" w:type="auto"/>
          </w:tcPr>
          <w:p w14:paraId="4743096E"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2.04</w:t>
            </w:r>
          </w:p>
        </w:tc>
        <w:tc>
          <w:tcPr>
            <w:tcW w:w="0" w:type="auto"/>
          </w:tcPr>
          <w:p w14:paraId="71CDA74F"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4.90</w:t>
            </w:r>
          </w:p>
        </w:tc>
        <w:tc>
          <w:tcPr>
            <w:tcW w:w="0" w:type="auto"/>
          </w:tcPr>
          <w:p w14:paraId="7998868B"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6B6E84A5"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29</w:t>
            </w:r>
          </w:p>
        </w:tc>
      </w:tr>
      <w:tr w:rsidR="00E850E2" w:rsidRPr="008A3160" w14:paraId="19A0C2D3" w14:textId="77777777" w:rsidTr="00217E39">
        <w:tc>
          <w:tcPr>
            <w:tcW w:w="0" w:type="auto"/>
          </w:tcPr>
          <w:p w14:paraId="7BCDF384" w14:textId="77777777" w:rsidR="00E850E2" w:rsidRPr="008A3160" w:rsidRDefault="00E850E2" w:rsidP="00217E39">
            <w:pPr>
              <w:ind w:right="93"/>
              <w:rPr>
                <w:rFonts w:ascii="Times New Roman" w:hAnsi="Times New Roman" w:cs="Times New Roman"/>
                <w:i/>
                <w:iCs/>
              </w:rPr>
            </w:pPr>
            <w:proofErr w:type="spellStart"/>
            <w:r w:rsidRPr="008A3160">
              <w:rPr>
                <w:rFonts w:ascii="Times New Roman" w:hAnsi="Times New Roman" w:cs="Times New Roman"/>
                <w:i/>
                <w:iCs/>
              </w:rPr>
              <w:t>Tpes</w:t>
            </w:r>
            <w:proofErr w:type="spellEnd"/>
          </w:p>
        </w:tc>
        <w:tc>
          <w:tcPr>
            <w:tcW w:w="0" w:type="auto"/>
          </w:tcPr>
          <w:p w14:paraId="27041022"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1,230</w:t>
            </w:r>
          </w:p>
        </w:tc>
        <w:tc>
          <w:tcPr>
            <w:tcW w:w="0" w:type="auto"/>
          </w:tcPr>
          <w:p w14:paraId="61EBA185"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6.12</w:t>
            </w:r>
          </w:p>
        </w:tc>
        <w:tc>
          <w:tcPr>
            <w:tcW w:w="0" w:type="auto"/>
          </w:tcPr>
          <w:p w14:paraId="27A05BDC"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6.08</w:t>
            </w:r>
          </w:p>
        </w:tc>
        <w:tc>
          <w:tcPr>
            <w:tcW w:w="0" w:type="auto"/>
          </w:tcPr>
          <w:p w14:paraId="4DF0DA04"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2BE8B627"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52.06</w:t>
            </w:r>
          </w:p>
        </w:tc>
      </w:tr>
      <w:tr w:rsidR="00E850E2" w:rsidRPr="008A3160" w14:paraId="4C8AF91A" w14:textId="77777777" w:rsidTr="00217E39">
        <w:tc>
          <w:tcPr>
            <w:tcW w:w="0" w:type="auto"/>
          </w:tcPr>
          <w:p w14:paraId="475EC529" w14:textId="77777777" w:rsidR="00E850E2" w:rsidRPr="008A3160" w:rsidRDefault="00E850E2" w:rsidP="00217E39">
            <w:pPr>
              <w:ind w:right="93"/>
              <w:rPr>
                <w:rFonts w:ascii="Times New Roman" w:hAnsi="Times New Roman" w:cs="Times New Roman"/>
                <w:i/>
                <w:iCs/>
              </w:rPr>
            </w:pPr>
            <w:proofErr w:type="spellStart"/>
            <w:r w:rsidRPr="008A3160">
              <w:rPr>
                <w:rFonts w:ascii="Times New Roman" w:hAnsi="Times New Roman" w:cs="Times New Roman"/>
                <w:i/>
                <w:iCs/>
              </w:rPr>
              <w:t>Tfert</w:t>
            </w:r>
            <w:proofErr w:type="spellEnd"/>
          </w:p>
        </w:tc>
        <w:tc>
          <w:tcPr>
            <w:tcW w:w="0" w:type="auto"/>
          </w:tcPr>
          <w:p w14:paraId="19BE8BB1"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1,239</w:t>
            </w:r>
          </w:p>
        </w:tc>
        <w:tc>
          <w:tcPr>
            <w:tcW w:w="0" w:type="auto"/>
          </w:tcPr>
          <w:p w14:paraId="3E01B7F4"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2.73</w:t>
            </w:r>
          </w:p>
        </w:tc>
        <w:tc>
          <w:tcPr>
            <w:tcW w:w="0" w:type="auto"/>
          </w:tcPr>
          <w:p w14:paraId="62FADD63"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4.46</w:t>
            </w:r>
          </w:p>
        </w:tc>
        <w:tc>
          <w:tcPr>
            <w:tcW w:w="0" w:type="auto"/>
          </w:tcPr>
          <w:p w14:paraId="4D0BFF52"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604EDD41"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35.59</w:t>
            </w:r>
          </w:p>
        </w:tc>
      </w:tr>
      <w:tr w:rsidR="00E850E2" w:rsidRPr="008A3160" w14:paraId="4376DACF" w14:textId="77777777" w:rsidTr="00217E39">
        <w:tc>
          <w:tcPr>
            <w:tcW w:w="0" w:type="auto"/>
          </w:tcPr>
          <w:p w14:paraId="0A834945" w14:textId="77777777" w:rsidR="00E850E2" w:rsidRPr="008A3160" w:rsidRDefault="00E850E2" w:rsidP="00217E39">
            <w:pPr>
              <w:ind w:right="93"/>
              <w:rPr>
                <w:rFonts w:ascii="Times New Roman" w:hAnsi="Times New Roman" w:cs="Times New Roman"/>
                <w:i/>
                <w:iCs/>
              </w:rPr>
            </w:pPr>
            <w:proofErr w:type="spellStart"/>
            <w:r w:rsidRPr="008A3160">
              <w:rPr>
                <w:rFonts w:ascii="Times New Roman" w:hAnsi="Times New Roman" w:cs="Times New Roman"/>
                <w:i/>
                <w:iCs/>
              </w:rPr>
              <w:t>Tagrtrade</w:t>
            </w:r>
            <w:proofErr w:type="spellEnd"/>
          </w:p>
        </w:tc>
        <w:tc>
          <w:tcPr>
            <w:tcW w:w="0" w:type="auto"/>
          </w:tcPr>
          <w:p w14:paraId="699E81FA"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1,242</w:t>
            </w:r>
          </w:p>
        </w:tc>
        <w:tc>
          <w:tcPr>
            <w:tcW w:w="0" w:type="auto"/>
          </w:tcPr>
          <w:p w14:paraId="00ED5095"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12.04</w:t>
            </w:r>
          </w:p>
        </w:tc>
        <w:tc>
          <w:tcPr>
            <w:tcW w:w="0" w:type="auto"/>
          </w:tcPr>
          <w:p w14:paraId="2B3901CD"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8.18</w:t>
            </w:r>
          </w:p>
        </w:tc>
        <w:tc>
          <w:tcPr>
            <w:tcW w:w="0" w:type="auto"/>
          </w:tcPr>
          <w:p w14:paraId="4506EC9E"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0</w:t>
            </w:r>
          </w:p>
        </w:tc>
        <w:tc>
          <w:tcPr>
            <w:tcW w:w="0" w:type="auto"/>
          </w:tcPr>
          <w:p w14:paraId="35B031E4"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73.69</w:t>
            </w:r>
          </w:p>
        </w:tc>
      </w:tr>
      <w:tr w:rsidR="00E850E2" w:rsidRPr="008A3160" w14:paraId="0B5B8E0F" w14:textId="77777777" w:rsidTr="00217E39">
        <w:tc>
          <w:tcPr>
            <w:tcW w:w="0" w:type="auto"/>
            <w:tcBorders>
              <w:bottom w:val="single" w:sz="4" w:space="0" w:color="auto"/>
            </w:tcBorders>
          </w:tcPr>
          <w:p w14:paraId="41B50F04" w14:textId="77777777" w:rsidR="00E850E2" w:rsidRPr="008A3160" w:rsidRDefault="00E850E2" w:rsidP="00217E39">
            <w:pPr>
              <w:ind w:right="93"/>
              <w:rPr>
                <w:rFonts w:ascii="Times New Roman" w:hAnsi="Times New Roman" w:cs="Times New Roman"/>
                <w:i/>
                <w:iCs/>
              </w:rPr>
            </w:pPr>
            <w:r w:rsidRPr="008A3160">
              <w:rPr>
                <w:rFonts w:ascii="Times New Roman" w:hAnsi="Times New Roman" w:cs="Times New Roman"/>
                <w:i/>
                <w:iCs/>
              </w:rPr>
              <w:t>EPI score</w:t>
            </w:r>
          </w:p>
        </w:tc>
        <w:tc>
          <w:tcPr>
            <w:tcW w:w="0" w:type="auto"/>
            <w:tcBorders>
              <w:bottom w:val="single" w:sz="4" w:space="0" w:color="auto"/>
            </w:tcBorders>
          </w:tcPr>
          <w:p w14:paraId="5A0DE1CC"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1,242</w:t>
            </w:r>
          </w:p>
        </w:tc>
        <w:tc>
          <w:tcPr>
            <w:tcW w:w="0" w:type="auto"/>
            <w:tcBorders>
              <w:bottom w:val="single" w:sz="4" w:space="0" w:color="auto"/>
            </w:tcBorders>
          </w:tcPr>
          <w:p w14:paraId="619C24AD"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37.33</w:t>
            </w:r>
          </w:p>
        </w:tc>
        <w:tc>
          <w:tcPr>
            <w:tcW w:w="0" w:type="auto"/>
            <w:tcBorders>
              <w:bottom w:val="single" w:sz="4" w:space="0" w:color="auto"/>
            </w:tcBorders>
          </w:tcPr>
          <w:p w14:paraId="3E37EB52"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13.11</w:t>
            </w:r>
          </w:p>
        </w:tc>
        <w:tc>
          <w:tcPr>
            <w:tcW w:w="0" w:type="auto"/>
            <w:tcBorders>
              <w:bottom w:val="single" w:sz="4" w:space="0" w:color="auto"/>
            </w:tcBorders>
          </w:tcPr>
          <w:p w14:paraId="024B86E7"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5.45</w:t>
            </w:r>
          </w:p>
        </w:tc>
        <w:tc>
          <w:tcPr>
            <w:tcW w:w="0" w:type="auto"/>
            <w:tcBorders>
              <w:bottom w:val="single" w:sz="4" w:space="0" w:color="auto"/>
            </w:tcBorders>
          </w:tcPr>
          <w:p w14:paraId="268304CA" w14:textId="77777777" w:rsidR="00E850E2" w:rsidRPr="008A3160" w:rsidRDefault="00E850E2" w:rsidP="00217E39">
            <w:pPr>
              <w:ind w:right="93"/>
              <w:rPr>
                <w:rFonts w:ascii="Times New Roman" w:hAnsi="Times New Roman" w:cs="Times New Roman"/>
              </w:rPr>
            </w:pPr>
            <w:r w:rsidRPr="008A3160">
              <w:rPr>
                <w:rFonts w:ascii="Times New Roman" w:hAnsi="Times New Roman" w:cs="Times New Roman"/>
              </w:rPr>
              <w:t>80.99</w:t>
            </w:r>
          </w:p>
        </w:tc>
      </w:tr>
      <w:tr w:rsidR="00E850E2" w:rsidRPr="008A3160" w14:paraId="155115B3" w14:textId="77777777" w:rsidTr="00217E39">
        <w:tc>
          <w:tcPr>
            <w:tcW w:w="0" w:type="auto"/>
          </w:tcPr>
          <w:p w14:paraId="5265834E" w14:textId="77777777" w:rsidR="00E850E2" w:rsidRPr="008A3160" w:rsidRDefault="00E850E2" w:rsidP="00217E39">
            <w:pPr>
              <w:ind w:right="93"/>
              <w:rPr>
                <w:rFonts w:ascii="Times New Roman" w:hAnsi="Times New Roman" w:cs="Times New Roman"/>
                <w:i/>
                <w:iCs/>
              </w:rPr>
            </w:pPr>
          </w:p>
        </w:tc>
        <w:tc>
          <w:tcPr>
            <w:tcW w:w="0" w:type="auto"/>
          </w:tcPr>
          <w:p w14:paraId="1B6B2779" w14:textId="77777777" w:rsidR="00E850E2" w:rsidRPr="008A3160" w:rsidRDefault="00E850E2" w:rsidP="00217E39">
            <w:pPr>
              <w:ind w:right="93"/>
              <w:rPr>
                <w:rFonts w:ascii="Times New Roman" w:hAnsi="Times New Roman" w:cs="Times New Roman"/>
              </w:rPr>
            </w:pPr>
          </w:p>
        </w:tc>
        <w:tc>
          <w:tcPr>
            <w:tcW w:w="0" w:type="auto"/>
          </w:tcPr>
          <w:p w14:paraId="78D60227" w14:textId="77777777" w:rsidR="00E850E2" w:rsidRPr="008A3160" w:rsidRDefault="00E850E2" w:rsidP="00217E39">
            <w:pPr>
              <w:ind w:right="93"/>
              <w:rPr>
                <w:rFonts w:ascii="Times New Roman" w:hAnsi="Times New Roman" w:cs="Times New Roman"/>
              </w:rPr>
            </w:pPr>
          </w:p>
        </w:tc>
        <w:tc>
          <w:tcPr>
            <w:tcW w:w="0" w:type="auto"/>
          </w:tcPr>
          <w:p w14:paraId="451D9106" w14:textId="77777777" w:rsidR="00E850E2" w:rsidRPr="008A3160" w:rsidRDefault="00E850E2" w:rsidP="00217E39">
            <w:pPr>
              <w:ind w:right="93"/>
              <w:rPr>
                <w:rFonts w:ascii="Times New Roman" w:hAnsi="Times New Roman" w:cs="Times New Roman"/>
              </w:rPr>
            </w:pPr>
          </w:p>
        </w:tc>
        <w:tc>
          <w:tcPr>
            <w:tcW w:w="0" w:type="auto"/>
          </w:tcPr>
          <w:p w14:paraId="1A515A97" w14:textId="77777777" w:rsidR="00E850E2" w:rsidRPr="008A3160" w:rsidRDefault="00E850E2" w:rsidP="00217E39">
            <w:pPr>
              <w:ind w:right="93"/>
              <w:rPr>
                <w:rFonts w:ascii="Times New Roman" w:hAnsi="Times New Roman" w:cs="Times New Roman"/>
              </w:rPr>
            </w:pPr>
          </w:p>
        </w:tc>
        <w:tc>
          <w:tcPr>
            <w:tcW w:w="0" w:type="auto"/>
          </w:tcPr>
          <w:p w14:paraId="3E0D0A4E" w14:textId="77777777" w:rsidR="00E850E2" w:rsidRPr="008A3160" w:rsidRDefault="00E850E2" w:rsidP="00217E39">
            <w:pPr>
              <w:ind w:right="93"/>
              <w:rPr>
                <w:rFonts w:ascii="Times New Roman" w:hAnsi="Times New Roman" w:cs="Times New Roman"/>
              </w:rPr>
            </w:pPr>
          </w:p>
        </w:tc>
      </w:tr>
      <w:tr w:rsidR="00E850E2" w:rsidRPr="008A3160" w14:paraId="7B5C0B2A" w14:textId="77777777" w:rsidTr="00217E39">
        <w:tc>
          <w:tcPr>
            <w:tcW w:w="0" w:type="auto"/>
            <w:tcBorders>
              <w:bottom w:val="single" w:sz="4" w:space="0" w:color="auto"/>
            </w:tcBorders>
          </w:tcPr>
          <w:p w14:paraId="62BA32D1" w14:textId="77777777" w:rsidR="00E850E2" w:rsidRPr="008A3160" w:rsidRDefault="00E850E2" w:rsidP="00217E39">
            <w:pPr>
              <w:ind w:right="93"/>
              <w:rPr>
                <w:rFonts w:ascii="Times New Roman" w:hAnsi="Times New Roman" w:cs="Times New Roman"/>
                <w:i/>
                <w:iCs/>
              </w:rPr>
            </w:pPr>
          </w:p>
        </w:tc>
        <w:tc>
          <w:tcPr>
            <w:tcW w:w="0" w:type="auto"/>
            <w:tcBorders>
              <w:bottom w:val="single" w:sz="4" w:space="0" w:color="auto"/>
            </w:tcBorders>
          </w:tcPr>
          <w:p w14:paraId="1C3C5E02" w14:textId="77777777" w:rsidR="00E850E2" w:rsidRPr="008A3160" w:rsidRDefault="00E850E2" w:rsidP="00217E39">
            <w:pPr>
              <w:ind w:right="93"/>
              <w:rPr>
                <w:rFonts w:ascii="Times New Roman" w:hAnsi="Times New Roman" w:cs="Times New Roman"/>
              </w:rPr>
            </w:pPr>
          </w:p>
        </w:tc>
        <w:tc>
          <w:tcPr>
            <w:tcW w:w="0" w:type="auto"/>
            <w:tcBorders>
              <w:bottom w:val="single" w:sz="4" w:space="0" w:color="auto"/>
            </w:tcBorders>
          </w:tcPr>
          <w:p w14:paraId="52EF43A6" w14:textId="77777777" w:rsidR="00E850E2" w:rsidRPr="008A3160" w:rsidRDefault="00E850E2" w:rsidP="00217E39">
            <w:pPr>
              <w:ind w:right="93"/>
              <w:rPr>
                <w:rFonts w:ascii="Times New Roman" w:hAnsi="Times New Roman" w:cs="Times New Roman"/>
              </w:rPr>
            </w:pPr>
          </w:p>
        </w:tc>
        <w:tc>
          <w:tcPr>
            <w:tcW w:w="0" w:type="auto"/>
            <w:tcBorders>
              <w:bottom w:val="single" w:sz="4" w:space="0" w:color="auto"/>
            </w:tcBorders>
          </w:tcPr>
          <w:p w14:paraId="400317BD" w14:textId="77777777" w:rsidR="00E850E2" w:rsidRPr="008A3160" w:rsidRDefault="00E850E2" w:rsidP="00217E39">
            <w:pPr>
              <w:ind w:right="93"/>
              <w:rPr>
                <w:rFonts w:ascii="Times New Roman" w:hAnsi="Times New Roman" w:cs="Times New Roman"/>
              </w:rPr>
            </w:pPr>
          </w:p>
        </w:tc>
        <w:tc>
          <w:tcPr>
            <w:tcW w:w="0" w:type="auto"/>
            <w:tcBorders>
              <w:bottom w:val="single" w:sz="4" w:space="0" w:color="auto"/>
            </w:tcBorders>
          </w:tcPr>
          <w:p w14:paraId="51B27EBB" w14:textId="77777777" w:rsidR="00E850E2" w:rsidRPr="008A3160" w:rsidRDefault="00E850E2" w:rsidP="00217E39">
            <w:pPr>
              <w:ind w:right="93"/>
              <w:rPr>
                <w:rFonts w:ascii="Times New Roman" w:hAnsi="Times New Roman" w:cs="Times New Roman"/>
              </w:rPr>
            </w:pPr>
          </w:p>
        </w:tc>
        <w:tc>
          <w:tcPr>
            <w:tcW w:w="0" w:type="auto"/>
            <w:tcBorders>
              <w:bottom w:val="single" w:sz="4" w:space="0" w:color="auto"/>
            </w:tcBorders>
          </w:tcPr>
          <w:p w14:paraId="47B4BA4E" w14:textId="77777777" w:rsidR="00E850E2" w:rsidRPr="008A3160" w:rsidRDefault="00E850E2" w:rsidP="00217E39">
            <w:pPr>
              <w:ind w:right="93"/>
              <w:rPr>
                <w:rFonts w:ascii="Times New Roman" w:hAnsi="Times New Roman" w:cs="Times New Roman"/>
              </w:rPr>
            </w:pPr>
          </w:p>
        </w:tc>
      </w:tr>
    </w:tbl>
    <w:p w14:paraId="15253961" w14:textId="77777777" w:rsidR="00E850E2" w:rsidRPr="008A3160" w:rsidRDefault="00E850E2" w:rsidP="00E850E2">
      <w:pPr>
        <w:ind w:right="93"/>
        <w:rPr>
          <w:rFonts w:ascii="Times New Roman" w:hAnsi="Times New Roman" w:cs="Times New Roman"/>
        </w:rPr>
      </w:pPr>
    </w:p>
    <w:p w14:paraId="50170019" w14:textId="77777777" w:rsidR="00E850E2" w:rsidRPr="008A3160" w:rsidRDefault="00E850E2" w:rsidP="00E850E2">
      <w:pPr>
        <w:ind w:right="93"/>
        <w:rPr>
          <w:rFonts w:ascii="Times New Roman" w:hAnsi="Times New Roman" w:cs="Times New Roman"/>
        </w:rPr>
      </w:pPr>
    </w:p>
    <w:p w14:paraId="1D6BB253" w14:textId="77777777" w:rsidR="00E850E2" w:rsidRPr="008A3160" w:rsidRDefault="00E850E2" w:rsidP="00E850E2">
      <w:pPr>
        <w:autoSpaceDE w:val="0"/>
        <w:autoSpaceDN w:val="0"/>
        <w:adjustRightInd w:val="0"/>
        <w:rPr>
          <w:rFonts w:ascii="Times New Roman" w:hAnsi="Times New Roman" w:cs="Times New Roman"/>
          <w:kern w:val="0"/>
          <w:lang w:val="it-IT"/>
        </w:rPr>
      </w:pPr>
    </w:p>
    <w:p w14:paraId="47A4DB91" w14:textId="77777777" w:rsidR="00E850E2" w:rsidRPr="008A3160" w:rsidRDefault="00E850E2" w:rsidP="00E850E2">
      <w:pPr>
        <w:autoSpaceDE w:val="0"/>
        <w:autoSpaceDN w:val="0"/>
        <w:adjustRightInd w:val="0"/>
        <w:jc w:val="both"/>
        <w:rPr>
          <w:rFonts w:ascii="Times New Roman" w:hAnsi="Times New Roman" w:cs="Times New Roman"/>
          <w:kern w:val="0"/>
          <w:lang w:val="en-GB"/>
        </w:rPr>
      </w:pPr>
      <w:r w:rsidRPr="008A3160">
        <w:rPr>
          <w:rFonts w:ascii="Times New Roman" w:hAnsi="Times New Roman" w:cs="Times New Roman"/>
          <w:b/>
          <w:bCs/>
          <w:kern w:val="0"/>
          <w:lang w:val="en-GB"/>
        </w:rPr>
        <w:t>Table A.2</w:t>
      </w:r>
      <w:r w:rsidRPr="008A3160">
        <w:rPr>
          <w:rFonts w:ascii="Times New Roman" w:hAnsi="Times New Roman" w:cs="Times New Roman"/>
          <w:kern w:val="0"/>
          <w:lang w:val="en-GB"/>
        </w:rPr>
        <w:t xml:space="preserve"> Unit root tests</w:t>
      </w:r>
    </w:p>
    <w:tbl>
      <w:tblPr>
        <w:tblW w:w="0" w:type="auto"/>
        <w:tblCellMar>
          <w:left w:w="70" w:type="dxa"/>
          <w:right w:w="70" w:type="dxa"/>
        </w:tblCellMar>
        <w:tblLook w:val="04A0" w:firstRow="1" w:lastRow="0" w:firstColumn="1" w:lastColumn="0" w:noHBand="0" w:noVBand="1"/>
      </w:tblPr>
      <w:tblGrid>
        <w:gridCol w:w="1027"/>
        <w:gridCol w:w="940"/>
        <w:gridCol w:w="860"/>
        <w:gridCol w:w="940"/>
        <w:gridCol w:w="860"/>
      </w:tblGrid>
      <w:tr w:rsidR="00E850E2" w:rsidRPr="008A3160" w14:paraId="1FB689B3" w14:textId="77777777" w:rsidTr="00217E39">
        <w:trPr>
          <w:trHeight w:val="288"/>
        </w:trPr>
        <w:tc>
          <w:tcPr>
            <w:tcW w:w="0" w:type="auto"/>
            <w:tcBorders>
              <w:top w:val="single" w:sz="4" w:space="0" w:color="auto"/>
              <w:bottom w:val="single" w:sz="4" w:space="0" w:color="auto"/>
            </w:tcBorders>
            <w:noWrap/>
            <w:vAlign w:val="bottom"/>
            <w:hideMark/>
          </w:tcPr>
          <w:p w14:paraId="1A88131C" w14:textId="77777777" w:rsidR="00E850E2" w:rsidRPr="008A3160" w:rsidRDefault="00E850E2" w:rsidP="00217E39">
            <w:pPr>
              <w:rPr>
                <w:rFonts w:ascii="Times New Roman" w:eastAsia="Times New Roman" w:hAnsi="Times New Roman" w:cs="Times New Roman"/>
                <w:color w:val="000000"/>
                <w:kern w:val="0"/>
                <w:lang w:val="en-GB" w:eastAsia="it-IT"/>
                <w14:ligatures w14:val="none"/>
              </w:rPr>
            </w:pPr>
            <w:r w:rsidRPr="008A3160">
              <w:rPr>
                <w:rFonts w:ascii="Times New Roman" w:eastAsia="Times New Roman" w:hAnsi="Times New Roman" w:cs="Times New Roman"/>
                <w:color w:val="000000"/>
                <w:kern w:val="0"/>
                <w:lang w:val="en-GB" w:eastAsia="it-IT"/>
                <w14:ligatures w14:val="none"/>
              </w:rPr>
              <w:t> </w:t>
            </w:r>
          </w:p>
        </w:tc>
        <w:tc>
          <w:tcPr>
            <w:tcW w:w="0" w:type="auto"/>
            <w:gridSpan w:val="2"/>
            <w:tcBorders>
              <w:top w:val="single" w:sz="4" w:space="0" w:color="auto"/>
              <w:bottom w:val="single" w:sz="4" w:space="0" w:color="auto"/>
              <w:right w:val="single" w:sz="4" w:space="0" w:color="auto"/>
            </w:tcBorders>
            <w:noWrap/>
            <w:vAlign w:val="bottom"/>
            <w:hideMark/>
          </w:tcPr>
          <w:p w14:paraId="7151CCF2" w14:textId="77777777" w:rsidR="00E850E2" w:rsidRPr="008A3160" w:rsidRDefault="00E850E2" w:rsidP="00217E39">
            <w:pPr>
              <w:jc w:val="center"/>
              <w:rPr>
                <w:rFonts w:ascii="Times New Roman" w:eastAsia="Times New Roman" w:hAnsi="Times New Roman" w:cs="Times New Roman"/>
                <w:color w:val="000000"/>
                <w:kern w:val="0"/>
                <w:lang w:val="en-GB" w:eastAsia="it-IT"/>
                <w14:ligatures w14:val="none"/>
              </w:rPr>
            </w:pPr>
            <w:r w:rsidRPr="008A3160">
              <w:rPr>
                <w:rFonts w:ascii="Times New Roman" w:eastAsia="Times New Roman" w:hAnsi="Times New Roman" w:cs="Times New Roman"/>
                <w:color w:val="000000"/>
                <w:kern w:val="0"/>
                <w:lang w:val="en-GB" w:eastAsia="it-IT"/>
                <w14:ligatures w14:val="none"/>
              </w:rPr>
              <w:t xml:space="preserve"> Levin-Lin-Chu </w:t>
            </w:r>
          </w:p>
          <w:p w14:paraId="6A304D75" w14:textId="77777777" w:rsidR="00E850E2" w:rsidRPr="008A3160" w:rsidRDefault="00E850E2" w:rsidP="00217E39">
            <w:pPr>
              <w:jc w:val="center"/>
              <w:rPr>
                <w:rFonts w:ascii="Times New Roman" w:eastAsia="Times New Roman" w:hAnsi="Times New Roman" w:cs="Times New Roman"/>
                <w:color w:val="000000"/>
                <w:kern w:val="0"/>
                <w:lang w:val="en-GB" w:eastAsia="it-IT"/>
                <w14:ligatures w14:val="none"/>
              </w:rPr>
            </w:pPr>
            <w:r w:rsidRPr="008A3160">
              <w:rPr>
                <w:rFonts w:ascii="Times New Roman" w:eastAsia="Times New Roman" w:hAnsi="Times New Roman" w:cs="Times New Roman"/>
                <w:color w:val="000000"/>
                <w:kern w:val="0"/>
                <w:lang w:val="en-GB" w:eastAsia="it-IT"/>
                <w14:ligatures w14:val="none"/>
              </w:rPr>
              <w:t>Unit-Root Test*</w:t>
            </w:r>
          </w:p>
        </w:tc>
        <w:tc>
          <w:tcPr>
            <w:tcW w:w="0" w:type="auto"/>
            <w:gridSpan w:val="2"/>
            <w:tcBorders>
              <w:top w:val="single" w:sz="4" w:space="0" w:color="auto"/>
              <w:left w:val="single" w:sz="4" w:space="0" w:color="auto"/>
              <w:bottom w:val="single" w:sz="4" w:space="0" w:color="auto"/>
            </w:tcBorders>
            <w:noWrap/>
            <w:vAlign w:val="bottom"/>
            <w:hideMark/>
          </w:tcPr>
          <w:p w14:paraId="5A1870C5" w14:textId="77777777" w:rsidR="00E850E2" w:rsidRPr="008A3160" w:rsidRDefault="00E850E2" w:rsidP="00217E39">
            <w:pPr>
              <w:jc w:val="center"/>
              <w:rPr>
                <w:rFonts w:ascii="Times New Roman" w:eastAsia="Times New Roman" w:hAnsi="Times New Roman" w:cs="Times New Roman"/>
                <w:color w:val="000000"/>
                <w:kern w:val="0"/>
                <w:lang w:val="en-GB" w:eastAsia="it-IT"/>
                <w14:ligatures w14:val="none"/>
              </w:rPr>
            </w:pPr>
            <w:proofErr w:type="spellStart"/>
            <w:r w:rsidRPr="008A3160">
              <w:rPr>
                <w:rFonts w:ascii="Times New Roman" w:eastAsia="Times New Roman" w:hAnsi="Times New Roman" w:cs="Times New Roman"/>
                <w:color w:val="000000"/>
                <w:kern w:val="0"/>
                <w:lang w:val="en-GB" w:eastAsia="it-IT"/>
                <w14:ligatures w14:val="none"/>
              </w:rPr>
              <w:t>Pesaran's</w:t>
            </w:r>
            <w:proofErr w:type="spellEnd"/>
            <w:r w:rsidRPr="008A3160">
              <w:rPr>
                <w:rFonts w:ascii="Times New Roman" w:eastAsia="Times New Roman" w:hAnsi="Times New Roman" w:cs="Times New Roman"/>
                <w:color w:val="000000"/>
                <w:kern w:val="0"/>
                <w:lang w:val="en-GB" w:eastAsia="it-IT"/>
                <w14:ligatures w14:val="none"/>
              </w:rPr>
              <w:t xml:space="preserve"> CIPS </w:t>
            </w:r>
          </w:p>
          <w:p w14:paraId="76AB2BA6" w14:textId="77777777" w:rsidR="00E850E2" w:rsidRPr="008A3160" w:rsidRDefault="00E850E2" w:rsidP="00217E39">
            <w:pPr>
              <w:jc w:val="center"/>
              <w:rPr>
                <w:rFonts w:ascii="Times New Roman" w:eastAsia="Times New Roman" w:hAnsi="Times New Roman" w:cs="Times New Roman"/>
                <w:color w:val="000000"/>
                <w:kern w:val="0"/>
                <w:lang w:val="en-GB" w:eastAsia="it-IT"/>
                <w14:ligatures w14:val="none"/>
              </w:rPr>
            </w:pPr>
            <w:r w:rsidRPr="008A3160">
              <w:rPr>
                <w:rFonts w:ascii="Times New Roman" w:eastAsia="Times New Roman" w:hAnsi="Times New Roman" w:cs="Times New Roman"/>
                <w:color w:val="000000"/>
                <w:kern w:val="0"/>
                <w:lang w:val="en-GB" w:eastAsia="it-IT"/>
                <w14:ligatures w14:val="none"/>
              </w:rPr>
              <w:t>Unit roots Tests*</w:t>
            </w:r>
          </w:p>
        </w:tc>
      </w:tr>
      <w:tr w:rsidR="00E850E2" w:rsidRPr="008A3160" w14:paraId="0E3573DB" w14:textId="77777777" w:rsidTr="00217E39">
        <w:trPr>
          <w:trHeight w:val="300"/>
        </w:trPr>
        <w:tc>
          <w:tcPr>
            <w:tcW w:w="0" w:type="auto"/>
            <w:tcBorders>
              <w:top w:val="single" w:sz="4" w:space="0" w:color="auto"/>
              <w:bottom w:val="single" w:sz="4" w:space="0" w:color="auto"/>
            </w:tcBorders>
            <w:noWrap/>
            <w:vAlign w:val="bottom"/>
            <w:hideMark/>
          </w:tcPr>
          <w:p w14:paraId="38CD5E63" w14:textId="77777777" w:rsidR="00E850E2" w:rsidRPr="008A3160" w:rsidRDefault="00E850E2" w:rsidP="00217E39">
            <w:pPr>
              <w:rPr>
                <w:rFonts w:ascii="Times New Roman" w:eastAsia="Times New Roman" w:hAnsi="Times New Roman" w:cs="Times New Roman"/>
                <w:color w:val="000000"/>
                <w:kern w:val="0"/>
                <w:lang w:val="en-GB" w:eastAsia="it-IT"/>
                <w14:ligatures w14:val="none"/>
              </w:rPr>
            </w:pPr>
            <w:r w:rsidRPr="008A3160">
              <w:rPr>
                <w:rFonts w:ascii="Times New Roman" w:eastAsia="Times New Roman" w:hAnsi="Times New Roman" w:cs="Times New Roman"/>
                <w:color w:val="000000"/>
                <w:kern w:val="0"/>
                <w:lang w:val="en-GB" w:eastAsia="it-IT"/>
                <w14:ligatures w14:val="none"/>
              </w:rPr>
              <w:t>Variable </w:t>
            </w:r>
          </w:p>
        </w:tc>
        <w:tc>
          <w:tcPr>
            <w:tcW w:w="0" w:type="auto"/>
            <w:tcBorders>
              <w:top w:val="single" w:sz="4" w:space="0" w:color="auto"/>
              <w:bottom w:val="single" w:sz="4" w:space="0" w:color="auto"/>
            </w:tcBorders>
            <w:noWrap/>
            <w:vAlign w:val="bottom"/>
            <w:hideMark/>
          </w:tcPr>
          <w:p w14:paraId="39AAC4F2"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estimate</w:t>
            </w:r>
          </w:p>
        </w:tc>
        <w:tc>
          <w:tcPr>
            <w:tcW w:w="0" w:type="auto"/>
            <w:tcBorders>
              <w:top w:val="single" w:sz="4" w:space="0" w:color="auto"/>
              <w:bottom w:val="single" w:sz="4" w:space="0" w:color="auto"/>
              <w:right w:val="single" w:sz="4" w:space="0" w:color="auto"/>
            </w:tcBorders>
            <w:noWrap/>
            <w:vAlign w:val="bottom"/>
            <w:hideMark/>
          </w:tcPr>
          <w:p w14:paraId="67524E9B" w14:textId="77777777" w:rsidR="00E850E2" w:rsidRPr="008A3160" w:rsidRDefault="00E850E2" w:rsidP="00217E39">
            <w:pPr>
              <w:jc w:val="right"/>
              <w:rPr>
                <w:rFonts w:ascii="Times New Roman" w:eastAsia="Times New Roman" w:hAnsi="Times New Roman" w:cs="Times New Roman"/>
                <w:i/>
                <w:iCs/>
                <w:color w:val="000000"/>
                <w:kern w:val="0"/>
                <w:lang w:eastAsia="it-IT"/>
                <w14:ligatures w14:val="none"/>
              </w:rPr>
            </w:pPr>
            <w:r w:rsidRPr="008A3160">
              <w:rPr>
                <w:rFonts w:ascii="Times New Roman" w:eastAsia="Times New Roman" w:hAnsi="Times New Roman" w:cs="Times New Roman"/>
                <w:i/>
                <w:iCs/>
                <w:color w:val="000000"/>
                <w:kern w:val="0"/>
                <w:lang w:eastAsia="it-IT"/>
                <w14:ligatures w14:val="none"/>
              </w:rPr>
              <w:t>p-value</w:t>
            </w:r>
          </w:p>
        </w:tc>
        <w:tc>
          <w:tcPr>
            <w:tcW w:w="0" w:type="auto"/>
            <w:tcBorders>
              <w:top w:val="single" w:sz="4" w:space="0" w:color="auto"/>
              <w:left w:val="single" w:sz="4" w:space="0" w:color="auto"/>
              <w:bottom w:val="single" w:sz="4" w:space="0" w:color="auto"/>
            </w:tcBorders>
            <w:noWrap/>
            <w:vAlign w:val="bottom"/>
            <w:hideMark/>
          </w:tcPr>
          <w:p w14:paraId="5B9E7037"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estimate</w:t>
            </w:r>
          </w:p>
        </w:tc>
        <w:tc>
          <w:tcPr>
            <w:tcW w:w="0" w:type="auto"/>
            <w:tcBorders>
              <w:top w:val="single" w:sz="4" w:space="0" w:color="auto"/>
              <w:bottom w:val="single" w:sz="4" w:space="0" w:color="auto"/>
            </w:tcBorders>
            <w:noWrap/>
            <w:vAlign w:val="bottom"/>
            <w:hideMark/>
          </w:tcPr>
          <w:p w14:paraId="6843DB00" w14:textId="77777777" w:rsidR="00E850E2" w:rsidRPr="008A3160" w:rsidRDefault="00E850E2" w:rsidP="00217E39">
            <w:pPr>
              <w:jc w:val="right"/>
              <w:rPr>
                <w:rFonts w:ascii="Times New Roman" w:eastAsia="Times New Roman" w:hAnsi="Times New Roman" w:cs="Times New Roman"/>
                <w:i/>
                <w:iCs/>
                <w:color w:val="000000"/>
                <w:kern w:val="0"/>
                <w:lang w:eastAsia="it-IT"/>
                <w14:ligatures w14:val="none"/>
              </w:rPr>
            </w:pPr>
            <w:r w:rsidRPr="008A3160">
              <w:rPr>
                <w:rFonts w:ascii="Times New Roman" w:eastAsia="Times New Roman" w:hAnsi="Times New Roman" w:cs="Times New Roman"/>
                <w:i/>
                <w:iCs/>
                <w:color w:val="000000"/>
                <w:kern w:val="0"/>
                <w:lang w:eastAsia="it-IT"/>
                <w14:ligatures w14:val="none"/>
              </w:rPr>
              <w:t>p-value</w:t>
            </w:r>
          </w:p>
        </w:tc>
      </w:tr>
      <w:tr w:rsidR="00E850E2" w:rsidRPr="008A3160" w14:paraId="6CD64BF2" w14:textId="77777777" w:rsidTr="00217E39">
        <w:trPr>
          <w:trHeight w:val="288"/>
        </w:trPr>
        <w:tc>
          <w:tcPr>
            <w:tcW w:w="0" w:type="auto"/>
            <w:tcBorders>
              <w:top w:val="single" w:sz="4" w:space="0" w:color="auto"/>
              <w:right w:val="single" w:sz="4" w:space="0" w:color="auto"/>
            </w:tcBorders>
            <w:noWrap/>
            <w:vAlign w:val="bottom"/>
            <w:hideMark/>
          </w:tcPr>
          <w:p w14:paraId="33AA5EC4" w14:textId="77777777" w:rsidR="00E850E2" w:rsidRPr="008A3160" w:rsidRDefault="00E850E2" w:rsidP="00217E39">
            <w:pPr>
              <w:rPr>
                <w:rFonts w:ascii="Times New Roman" w:eastAsia="Times New Roman" w:hAnsi="Times New Roman" w:cs="Times New Roman"/>
                <w:i/>
                <w:iCs/>
                <w:color w:val="000000"/>
                <w:kern w:val="0"/>
                <w:lang w:eastAsia="it-IT"/>
                <w14:ligatures w14:val="none"/>
              </w:rPr>
            </w:pPr>
            <w:proofErr w:type="spellStart"/>
            <w:r w:rsidRPr="008A3160">
              <w:rPr>
                <w:rFonts w:ascii="Times New Roman" w:eastAsia="Times New Roman" w:hAnsi="Times New Roman" w:cs="Times New Roman"/>
                <w:i/>
                <w:iCs/>
                <w:color w:val="000000"/>
                <w:kern w:val="0"/>
                <w:lang w:eastAsia="it-IT"/>
                <w14:ligatures w14:val="none"/>
              </w:rPr>
              <w:t>envTBT</w:t>
            </w:r>
            <w:proofErr w:type="spellEnd"/>
          </w:p>
        </w:tc>
        <w:tc>
          <w:tcPr>
            <w:tcW w:w="0" w:type="auto"/>
            <w:tcBorders>
              <w:top w:val="single" w:sz="4" w:space="0" w:color="auto"/>
              <w:left w:val="single" w:sz="4" w:space="0" w:color="auto"/>
            </w:tcBorders>
            <w:noWrap/>
            <w:vAlign w:val="bottom"/>
            <w:hideMark/>
          </w:tcPr>
          <w:p w14:paraId="2A02669D"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-4.131</w:t>
            </w:r>
          </w:p>
        </w:tc>
        <w:tc>
          <w:tcPr>
            <w:tcW w:w="0" w:type="auto"/>
            <w:tcBorders>
              <w:top w:val="single" w:sz="4" w:space="0" w:color="auto"/>
              <w:right w:val="single" w:sz="4" w:space="0" w:color="auto"/>
            </w:tcBorders>
            <w:noWrap/>
            <w:vAlign w:val="bottom"/>
            <w:hideMark/>
          </w:tcPr>
          <w:p w14:paraId="39274D9B"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&lt;0.001</w:t>
            </w:r>
          </w:p>
        </w:tc>
        <w:tc>
          <w:tcPr>
            <w:tcW w:w="0" w:type="auto"/>
            <w:tcBorders>
              <w:top w:val="single" w:sz="4" w:space="0" w:color="auto"/>
              <w:left w:val="single" w:sz="4" w:space="0" w:color="auto"/>
            </w:tcBorders>
            <w:noWrap/>
            <w:vAlign w:val="bottom"/>
            <w:hideMark/>
          </w:tcPr>
          <w:p w14:paraId="33D91278"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-2.423</w:t>
            </w:r>
          </w:p>
        </w:tc>
        <w:tc>
          <w:tcPr>
            <w:tcW w:w="0" w:type="auto"/>
            <w:tcBorders>
              <w:top w:val="single" w:sz="4" w:space="0" w:color="auto"/>
              <w:right w:val="single" w:sz="4" w:space="0" w:color="auto"/>
            </w:tcBorders>
            <w:noWrap/>
            <w:vAlign w:val="bottom"/>
            <w:hideMark/>
          </w:tcPr>
          <w:p w14:paraId="29A6534C"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&lt;0.001</w:t>
            </w:r>
          </w:p>
        </w:tc>
      </w:tr>
      <w:tr w:rsidR="00E850E2" w:rsidRPr="008A3160" w14:paraId="248AFC8B" w14:textId="77777777" w:rsidTr="00217E39">
        <w:trPr>
          <w:trHeight w:val="288"/>
        </w:trPr>
        <w:tc>
          <w:tcPr>
            <w:tcW w:w="0" w:type="auto"/>
            <w:tcBorders>
              <w:bottom w:val="single" w:sz="4" w:space="0" w:color="auto"/>
              <w:right w:val="single" w:sz="4" w:space="0" w:color="auto"/>
            </w:tcBorders>
            <w:noWrap/>
            <w:vAlign w:val="bottom"/>
            <w:hideMark/>
          </w:tcPr>
          <w:p w14:paraId="742C6BBC" w14:textId="77777777" w:rsidR="00E850E2" w:rsidRPr="008A3160" w:rsidRDefault="00E850E2" w:rsidP="00217E39">
            <w:pPr>
              <w:rPr>
                <w:rFonts w:ascii="Times New Roman" w:eastAsia="Times New Roman" w:hAnsi="Times New Roman" w:cs="Times New Roman"/>
                <w:i/>
                <w:iCs/>
                <w:color w:val="000000"/>
                <w:kern w:val="0"/>
                <w:lang w:eastAsia="it-IT"/>
                <w14:ligatures w14:val="none"/>
              </w:rPr>
            </w:pPr>
            <w:proofErr w:type="spellStart"/>
            <w:r w:rsidRPr="008A3160">
              <w:rPr>
                <w:rFonts w:ascii="Times New Roman" w:eastAsia="Times New Roman" w:hAnsi="Times New Roman" w:cs="Times New Roman"/>
                <w:i/>
                <w:iCs/>
                <w:color w:val="000000"/>
                <w:kern w:val="0"/>
                <w:lang w:eastAsia="it-IT"/>
                <w14:ligatures w14:val="none"/>
              </w:rPr>
              <w:t>envRTA</w:t>
            </w:r>
            <w:proofErr w:type="spellEnd"/>
          </w:p>
        </w:tc>
        <w:tc>
          <w:tcPr>
            <w:tcW w:w="0" w:type="auto"/>
            <w:tcBorders>
              <w:left w:val="single" w:sz="4" w:space="0" w:color="auto"/>
              <w:bottom w:val="single" w:sz="4" w:space="0" w:color="auto"/>
            </w:tcBorders>
            <w:noWrap/>
            <w:vAlign w:val="bottom"/>
            <w:hideMark/>
          </w:tcPr>
          <w:p w14:paraId="672E0FFE"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-21.736</w:t>
            </w:r>
          </w:p>
        </w:tc>
        <w:tc>
          <w:tcPr>
            <w:tcW w:w="0" w:type="auto"/>
            <w:tcBorders>
              <w:bottom w:val="single" w:sz="4" w:space="0" w:color="auto"/>
              <w:right w:val="single" w:sz="4" w:space="0" w:color="auto"/>
            </w:tcBorders>
            <w:noWrap/>
            <w:vAlign w:val="bottom"/>
            <w:hideMark/>
          </w:tcPr>
          <w:p w14:paraId="6D28777C"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&lt;0.001</w:t>
            </w:r>
          </w:p>
        </w:tc>
        <w:tc>
          <w:tcPr>
            <w:tcW w:w="0" w:type="auto"/>
            <w:tcBorders>
              <w:left w:val="single" w:sz="4" w:space="0" w:color="auto"/>
              <w:bottom w:val="single" w:sz="4" w:space="0" w:color="auto"/>
            </w:tcBorders>
            <w:noWrap/>
            <w:vAlign w:val="bottom"/>
            <w:hideMark/>
          </w:tcPr>
          <w:p w14:paraId="447CC5AF"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-4.597</w:t>
            </w:r>
          </w:p>
        </w:tc>
        <w:tc>
          <w:tcPr>
            <w:tcW w:w="0" w:type="auto"/>
            <w:tcBorders>
              <w:bottom w:val="single" w:sz="4" w:space="0" w:color="auto"/>
              <w:right w:val="single" w:sz="4" w:space="0" w:color="auto"/>
            </w:tcBorders>
            <w:noWrap/>
            <w:vAlign w:val="bottom"/>
            <w:hideMark/>
          </w:tcPr>
          <w:p w14:paraId="01B8AB29" w14:textId="77777777" w:rsidR="00E850E2" w:rsidRPr="008A3160" w:rsidRDefault="00E850E2" w:rsidP="00217E39">
            <w:pPr>
              <w:jc w:val="right"/>
              <w:rPr>
                <w:rFonts w:ascii="Times New Roman" w:eastAsia="Times New Roman" w:hAnsi="Times New Roman" w:cs="Times New Roman"/>
                <w:color w:val="000000"/>
                <w:kern w:val="0"/>
                <w:lang w:eastAsia="it-IT"/>
                <w14:ligatures w14:val="none"/>
              </w:rPr>
            </w:pPr>
            <w:r w:rsidRPr="008A3160">
              <w:rPr>
                <w:rFonts w:ascii="Times New Roman" w:eastAsia="Times New Roman" w:hAnsi="Times New Roman" w:cs="Times New Roman"/>
                <w:color w:val="000000"/>
                <w:kern w:val="0"/>
                <w:lang w:eastAsia="it-IT"/>
                <w14:ligatures w14:val="none"/>
              </w:rPr>
              <w:t>&lt;0.001</w:t>
            </w:r>
          </w:p>
        </w:tc>
      </w:tr>
    </w:tbl>
    <w:p w14:paraId="03072044" w14:textId="77777777" w:rsidR="00E850E2" w:rsidRPr="008A3160" w:rsidRDefault="00E850E2" w:rsidP="00E850E2">
      <w:pPr>
        <w:autoSpaceDE w:val="0"/>
        <w:autoSpaceDN w:val="0"/>
        <w:adjustRightInd w:val="0"/>
        <w:jc w:val="both"/>
        <w:rPr>
          <w:rFonts w:ascii="Times New Roman" w:hAnsi="Times New Roman" w:cs="Times New Roman"/>
          <w:kern w:val="0"/>
          <w:lang w:val="en-GB"/>
        </w:rPr>
      </w:pPr>
      <w:r w:rsidRPr="008A3160">
        <w:rPr>
          <w:rFonts w:ascii="Times New Roman" w:hAnsi="Times New Roman" w:cs="Times New Roman"/>
          <w:kern w:val="0"/>
          <w:lang w:val="en-GB"/>
        </w:rPr>
        <w:t>*</w:t>
      </w:r>
      <w:proofErr w:type="gramStart"/>
      <w:r w:rsidRPr="008A3160">
        <w:rPr>
          <w:rFonts w:ascii="Times New Roman" w:hAnsi="Times New Roman" w:cs="Times New Roman"/>
          <w:kern w:val="0"/>
          <w:lang w:val="en-GB"/>
        </w:rPr>
        <w:t>alternative</w:t>
      </w:r>
      <w:proofErr w:type="gramEnd"/>
      <w:r w:rsidRPr="008A3160">
        <w:rPr>
          <w:rFonts w:ascii="Times New Roman" w:hAnsi="Times New Roman" w:cs="Times New Roman"/>
          <w:kern w:val="0"/>
          <w:lang w:val="en-GB"/>
        </w:rPr>
        <w:t xml:space="preserve"> hypothesis: Stationarity</w:t>
      </w:r>
    </w:p>
    <w:p w14:paraId="436D8AEC" w14:textId="77777777" w:rsidR="00E850E2" w:rsidRPr="008A3160" w:rsidRDefault="00E850E2" w:rsidP="00E850E2">
      <w:pPr>
        <w:autoSpaceDE w:val="0"/>
        <w:autoSpaceDN w:val="0"/>
        <w:adjustRightInd w:val="0"/>
        <w:rPr>
          <w:rFonts w:ascii="Times New Roman" w:hAnsi="Times New Roman" w:cs="Times New Roman"/>
          <w:kern w:val="0"/>
          <w:lang w:val="en-GB"/>
        </w:rPr>
      </w:pPr>
    </w:p>
    <w:p w14:paraId="5C775EBF" w14:textId="77777777" w:rsidR="00E850E2" w:rsidRPr="008A3160" w:rsidRDefault="00E850E2" w:rsidP="00E850E2">
      <w:pPr>
        <w:autoSpaceDE w:val="0"/>
        <w:autoSpaceDN w:val="0"/>
        <w:adjustRightInd w:val="0"/>
        <w:jc w:val="both"/>
        <w:rPr>
          <w:rFonts w:ascii="Times New Roman" w:hAnsi="Times New Roman" w:cs="Times New Roman"/>
          <w:kern w:val="0"/>
          <w:lang w:val="en-GB"/>
        </w:rPr>
      </w:pPr>
      <w:r w:rsidRPr="008A3160">
        <w:rPr>
          <w:rFonts w:ascii="Times New Roman" w:hAnsi="Times New Roman" w:cs="Times New Roman"/>
          <w:b/>
          <w:bCs/>
          <w:kern w:val="0"/>
          <w:lang w:val="en-GB"/>
        </w:rPr>
        <w:t>Table A.3</w:t>
      </w:r>
      <w:r w:rsidRPr="008A3160">
        <w:rPr>
          <w:rFonts w:ascii="Times New Roman" w:hAnsi="Times New Roman" w:cs="Times New Roman"/>
          <w:kern w:val="0"/>
          <w:lang w:val="en-GB"/>
        </w:rPr>
        <w:t xml:space="preserve"> Panel Causality test</w:t>
      </w:r>
    </w:p>
    <w:tbl>
      <w:tblPr>
        <w:tblW w:w="0" w:type="auto"/>
        <w:tblCellMar>
          <w:left w:w="70" w:type="dxa"/>
          <w:right w:w="70" w:type="dxa"/>
        </w:tblCellMar>
        <w:tblLook w:val="04A0" w:firstRow="1" w:lastRow="0" w:firstColumn="1" w:lastColumn="0" w:noHBand="0" w:noVBand="1"/>
      </w:tblPr>
      <w:tblGrid>
        <w:gridCol w:w="2885"/>
        <w:gridCol w:w="1330"/>
        <w:gridCol w:w="860"/>
      </w:tblGrid>
      <w:tr w:rsidR="00E850E2" w:rsidRPr="008A3160" w14:paraId="248CCF6C" w14:textId="77777777" w:rsidTr="00217E39">
        <w:trPr>
          <w:trHeight w:val="288"/>
        </w:trPr>
        <w:tc>
          <w:tcPr>
            <w:tcW w:w="0" w:type="auto"/>
            <w:tcBorders>
              <w:top w:val="single" w:sz="4" w:space="0" w:color="auto"/>
              <w:bottom w:val="single" w:sz="4" w:space="0" w:color="auto"/>
            </w:tcBorders>
            <w:noWrap/>
            <w:vAlign w:val="bottom"/>
          </w:tcPr>
          <w:p w14:paraId="6A7A9C27"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Causality direction</w:t>
            </w:r>
          </w:p>
        </w:tc>
        <w:tc>
          <w:tcPr>
            <w:tcW w:w="0" w:type="auto"/>
            <w:tcBorders>
              <w:top w:val="single" w:sz="4" w:space="0" w:color="auto"/>
              <w:bottom w:val="single" w:sz="4" w:space="0" w:color="auto"/>
            </w:tcBorders>
            <w:noWrap/>
            <w:vAlign w:val="bottom"/>
          </w:tcPr>
          <w:p w14:paraId="7CC56B0B"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Test statistic</w:t>
            </w:r>
          </w:p>
        </w:tc>
        <w:tc>
          <w:tcPr>
            <w:tcW w:w="0" w:type="auto"/>
            <w:tcBorders>
              <w:top w:val="single" w:sz="4" w:space="0" w:color="auto"/>
              <w:bottom w:val="single" w:sz="4" w:space="0" w:color="auto"/>
            </w:tcBorders>
            <w:noWrap/>
            <w:vAlign w:val="bottom"/>
          </w:tcPr>
          <w:p w14:paraId="3CA86DE5"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p-value</w:t>
            </w:r>
          </w:p>
        </w:tc>
      </w:tr>
      <w:tr w:rsidR="00E850E2" w:rsidRPr="008A3160" w14:paraId="4E9F7151" w14:textId="77777777" w:rsidTr="00217E39">
        <w:trPr>
          <w:trHeight w:val="288"/>
        </w:trPr>
        <w:tc>
          <w:tcPr>
            <w:tcW w:w="0" w:type="auto"/>
            <w:noWrap/>
            <w:vAlign w:val="bottom"/>
            <w:hideMark/>
          </w:tcPr>
          <w:p w14:paraId="48FE24EC" w14:textId="77777777" w:rsidR="00E850E2" w:rsidRPr="008A3160" w:rsidRDefault="00E850E2" w:rsidP="00217E39">
            <w:pPr>
              <w:rPr>
                <w:rFonts w:ascii="Times New Roman" w:hAnsi="Times New Roman" w:cs="Times New Roman"/>
                <w:i/>
                <w:iCs/>
                <w:color w:val="000000"/>
              </w:rPr>
            </w:pPr>
            <w:r w:rsidRPr="008A3160">
              <w:rPr>
                <w:rFonts w:ascii="Times New Roman" w:hAnsi="Times New Roman" w:cs="Times New Roman"/>
                <w:i/>
                <w:iCs/>
                <w:color w:val="000000"/>
              </w:rPr>
              <w:t>TBT-&gt;RTA1025</w:t>
            </w:r>
          </w:p>
        </w:tc>
        <w:tc>
          <w:tcPr>
            <w:tcW w:w="0" w:type="auto"/>
            <w:noWrap/>
            <w:vAlign w:val="bottom"/>
            <w:hideMark/>
          </w:tcPr>
          <w:p w14:paraId="58DB3E89"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4.900</w:t>
            </w:r>
          </w:p>
        </w:tc>
        <w:tc>
          <w:tcPr>
            <w:tcW w:w="0" w:type="auto"/>
            <w:noWrap/>
            <w:vAlign w:val="bottom"/>
            <w:hideMark/>
          </w:tcPr>
          <w:p w14:paraId="6DFAEE93"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0.000</w:t>
            </w:r>
          </w:p>
        </w:tc>
      </w:tr>
      <w:tr w:rsidR="00E850E2" w:rsidRPr="008A3160" w14:paraId="49358EEE" w14:textId="77777777" w:rsidTr="00217E39">
        <w:trPr>
          <w:trHeight w:val="300"/>
        </w:trPr>
        <w:tc>
          <w:tcPr>
            <w:tcW w:w="0" w:type="auto"/>
            <w:tcBorders>
              <w:bottom w:val="single" w:sz="4" w:space="0" w:color="auto"/>
            </w:tcBorders>
            <w:noWrap/>
            <w:vAlign w:val="bottom"/>
            <w:hideMark/>
          </w:tcPr>
          <w:p w14:paraId="55CB0A44" w14:textId="77777777" w:rsidR="00E850E2" w:rsidRPr="008A3160" w:rsidRDefault="00E850E2" w:rsidP="00217E39">
            <w:pPr>
              <w:rPr>
                <w:rFonts w:ascii="Times New Roman" w:hAnsi="Times New Roman" w:cs="Times New Roman"/>
                <w:i/>
                <w:iCs/>
                <w:color w:val="000000"/>
              </w:rPr>
            </w:pPr>
            <w:r w:rsidRPr="008A3160">
              <w:rPr>
                <w:rFonts w:ascii="Times New Roman" w:hAnsi="Times New Roman" w:cs="Times New Roman"/>
                <w:i/>
                <w:iCs/>
                <w:color w:val="000000"/>
              </w:rPr>
              <w:t>TBT-&gt;RTA1026</w:t>
            </w:r>
          </w:p>
        </w:tc>
        <w:tc>
          <w:tcPr>
            <w:tcW w:w="0" w:type="auto"/>
            <w:tcBorders>
              <w:bottom w:val="single" w:sz="4" w:space="0" w:color="auto"/>
            </w:tcBorders>
            <w:noWrap/>
            <w:vAlign w:val="bottom"/>
            <w:hideMark/>
          </w:tcPr>
          <w:p w14:paraId="6955A45F"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4.846</w:t>
            </w:r>
          </w:p>
        </w:tc>
        <w:tc>
          <w:tcPr>
            <w:tcW w:w="0" w:type="auto"/>
            <w:tcBorders>
              <w:bottom w:val="single" w:sz="4" w:space="0" w:color="auto"/>
            </w:tcBorders>
            <w:noWrap/>
            <w:vAlign w:val="bottom"/>
            <w:hideMark/>
          </w:tcPr>
          <w:p w14:paraId="158FD044"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0.000</w:t>
            </w:r>
          </w:p>
        </w:tc>
      </w:tr>
      <w:tr w:rsidR="00E850E2" w:rsidRPr="008A3160" w14:paraId="11C300FD" w14:textId="77777777" w:rsidTr="00217E39">
        <w:trPr>
          <w:trHeight w:val="288"/>
        </w:trPr>
        <w:tc>
          <w:tcPr>
            <w:tcW w:w="0" w:type="auto"/>
            <w:tcBorders>
              <w:top w:val="single" w:sz="4" w:space="0" w:color="auto"/>
            </w:tcBorders>
            <w:noWrap/>
            <w:vAlign w:val="bottom"/>
          </w:tcPr>
          <w:p w14:paraId="26B90C37" w14:textId="77777777" w:rsidR="00E850E2" w:rsidRPr="008A3160" w:rsidRDefault="00E850E2" w:rsidP="00217E39">
            <w:pPr>
              <w:rPr>
                <w:rFonts w:ascii="Times New Roman" w:hAnsi="Times New Roman" w:cs="Times New Roman"/>
                <w:i/>
                <w:iCs/>
                <w:color w:val="000000"/>
              </w:rPr>
            </w:pPr>
            <w:r w:rsidRPr="008A3160">
              <w:rPr>
                <w:rFonts w:ascii="Times New Roman" w:hAnsi="Times New Roman" w:cs="Times New Roman"/>
                <w:i/>
                <w:iCs/>
                <w:color w:val="000000"/>
              </w:rPr>
              <w:t>RTA1025 -&gt;TBT</w:t>
            </w:r>
          </w:p>
        </w:tc>
        <w:tc>
          <w:tcPr>
            <w:tcW w:w="0" w:type="auto"/>
            <w:tcBorders>
              <w:top w:val="single" w:sz="4" w:space="0" w:color="auto"/>
            </w:tcBorders>
            <w:noWrap/>
            <w:vAlign w:val="bottom"/>
          </w:tcPr>
          <w:p w14:paraId="241665F6"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0.440</w:t>
            </w:r>
          </w:p>
        </w:tc>
        <w:tc>
          <w:tcPr>
            <w:tcW w:w="0" w:type="auto"/>
            <w:tcBorders>
              <w:top w:val="single" w:sz="4" w:space="0" w:color="auto"/>
            </w:tcBorders>
            <w:noWrap/>
            <w:vAlign w:val="bottom"/>
          </w:tcPr>
          <w:p w14:paraId="0A5248E4"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0.656</w:t>
            </w:r>
          </w:p>
        </w:tc>
      </w:tr>
      <w:tr w:rsidR="00E850E2" w:rsidRPr="008A3160" w14:paraId="023A26A6" w14:textId="77777777" w:rsidTr="00217E39">
        <w:trPr>
          <w:trHeight w:val="288"/>
        </w:trPr>
        <w:tc>
          <w:tcPr>
            <w:tcW w:w="0" w:type="auto"/>
            <w:tcBorders>
              <w:bottom w:val="single" w:sz="4" w:space="0" w:color="auto"/>
            </w:tcBorders>
            <w:noWrap/>
            <w:vAlign w:val="bottom"/>
          </w:tcPr>
          <w:p w14:paraId="01099932" w14:textId="77777777" w:rsidR="00E850E2" w:rsidRPr="008A3160" w:rsidRDefault="00E850E2" w:rsidP="00217E39">
            <w:pPr>
              <w:rPr>
                <w:rFonts w:ascii="Times New Roman" w:hAnsi="Times New Roman" w:cs="Times New Roman"/>
                <w:i/>
                <w:iCs/>
                <w:color w:val="000000"/>
              </w:rPr>
            </w:pPr>
            <w:r w:rsidRPr="008A3160">
              <w:rPr>
                <w:rFonts w:ascii="Times New Roman" w:hAnsi="Times New Roman" w:cs="Times New Roman"/>
                <w:i/>
                <w:iCs/>
                <w:color w:val="000000"/>
              </w:rPr>
              <w:t>First lag of RTA1025 -&gt;TBT</w:t>
            </w:r>
          </w:p>
        </w:tc>
        <w:tc>
          <w:tcPr>
            <w:tcW w:w="0" w:type="auto"/>
            <w:tcBorders>
              <w:bottom w:val="single" w:sz="4" w:space="0" w:color="auto"/>
            </w:tcBorders>
            <w:noWrap/>
            <w:vAlign w:val="bottom"/>
          </w:tcPr>
          <w:p w14:paraId="6846B7E0"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2.809</w:t>
            </w:r>
          </w:p>
        </w:tc>
        <w:tc>
          <w:tcPr>
            <w:tcW w:w="0" w:type="auto"/>
            <w:tcBorders>
              <w:bottom w:val="single" w:sz="4" w:space="0" w:color="auto"/>
            </w:tcBorders>
            <w:noWrap/>
            <w:vAlign w:val="bottom"/>
          </w:tcPr>
          <w:p w14:paraId="7C090CBA"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0.005</w:t>
            </w:r>
          </w:p>
        </w:tc>
      </w:tr>
      <w:tr w:rsidR="00E850E2" w:rsidRPr="008A3160" w14:paraId="053CF3D2" w14:textId="77777777" w:rsidTr="00217E39">
        <w:trPr>
          <w:trHeight w:val="288"/>
        </w:trPr>
        <w:tc>
          <w:tcPr>
            <w:tcW w:w="0" w:type="auto"/>
            <w:tcBorders>
              <w:top w:val="single" w:sz="4" w:space="0" w:color="auto"/>
            </w:tcBorders>
            <w:noWrap/>
            <w:vAlign w:val="bottom"/>
          </w:tcPr>
          <w:p w14:paraId="0BE95126" w14:textId="77777777" w:rsidR="00E850E2" w:rsidRPr="008A3160" w:rsidRDefault="00E850E2" w:rsidP="00217E39">
            <w:pPr>
              <w:rPr>
                <w:rFonts w:ascii="Times New Roman" w:hAnsi="Times New Roman" w:cs="Times New Roman"/>
                <w:i/>
                <w:iCs/>
                <w:color w:val="000000"/>
              </w:rPr>
            </w:pPr>
            <w:r w:rsidRPr="008A3160">
              <w:rPr>
                <w:rFonts w:ascii="Times New Roman" w:hAnsi="Times New Roman" w:cs="Times New Roman"/>
                <w:i/>
                <w:iCs/>
                <w:color w:val="000000"/>
              </w:rPr>
              <w:t>RTA1026-&gt;TBT</w:t>
            </w:r>
          </w:p>
        </w:tc>
        <w:tc>
          <w:tcPr>
            <w:tcW w:w="0" w:type="auto"/>
            <w:tcBorders>
              <w:top w:val="single" w:sz="4" w:space="0" w:color="auto"/>
            </w:tcBorders>
            <w:noWrap/>
            <w:vAlign w:val="bottom"/>
          </w:tcPr>
          <w:p w14:paraId="10DAE40B"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-1.085</w:t>
            </w:r>
          </w:p>
        </w:tc>
        <w:tc>
          <w:tcPr>
            <w:tcW w:w="0" w:type="auto"/>
            <w:tcBorders>
              <w:top w:val="single" w:sz="4" w:space="0" w:color="auto"/>
            </w:tcBorders>
            <w:noWrap/>
            <w:vAlign w:val="bottom"/>
          </w:tcPr>
          <w:p w14:paraId="386B3E2C"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0.278</w:t>
            </w:r>
          </w:p>
        </w:tc>
      </w:tr>
      <w:tr w:rsidR="00E850E2" w:rsidRPr="008A3160" w14:paraId="79B9ACE4" w14:textId="77777777" w:rsidTr="00217E39">
        <w:trPr>
          <w:trHeight w:val="288"/>
        </w:trPr>
        <w:tc>
          <w:tcPr>
            <w:tcW w:w="0" w:type="auto"/>
            <w:tcBorders>
              <w:bottom w:val="single" w:sz="4" w:space="0" w:color="auto"/>
            </w:tcBorders>
            <w:noWrap/>
            <w:vAlign w:val="bottom"/>
          </w:tcPr>
          <w:p w14:paraId="0E626249" w14:textId="77777777" w:rsidR="00E850E2" w:rsidRPr="008A3160" w:rsidRDefault="00E850E2" w:rsidP="00217E39">
            <w:pPr>
              <w:rPr>
                <w:rFonts w:ascii="Times New Roman" w:hAnsi="Times New Roman" w:cs="Times New Roman"/>
                <w:i/>
                <w:iCs/>
                <w:color w:val="000000"/>
              </w:rPr>
            </w:pPr>
            <w:r w:rsidRPr="008A3160">
              <w:rPr>
                <w:rFonts w:ascii="Times New Roman" w:hAnsi="Times New Roman" w:cs="Times New Roman"/>
                <w:i/>
                <w:iCs/>
                <w:color w:val="000000"/>
              </w:rPr>
              <w:t>First lag of RTA1026-&gt;TBT</w:t>
            </w:r>
          </w:p>
        </w:tc>
        <w:tc>
          <w:tcPr>
            <w:tcW w:w="0" w:type="auto"/>
            <w:tcBorders>
              <w:bottom w:val="single" w:sz="4" w:space="0" w:color="auto"/>
            </w:tcBorders>
            <w:noWrap/>
            <w:vAlign w:val="bottom"/>
          </w:tcPr>
          <w:p w14:paraId="6F613753"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-1.998</w:t>
            </w:r>
          </w:p>
        </w:tc>
        <w:tc>
          <w:tcPr>
            <w:tcW w:w="0" w:type="auto"/>
            <w:tcBorders>
              <w:bottom w:val="single" w:sz="4" w:space="0" w:color="auto"/>
            </w:tcBorders>
            <w:noWrap/>
            <w:vAlign w:val="bottom"/>
          </w:tcPr>
          <w:p w14:paraId="7F945CD1" w14:textId="77777777" w:rsidR="00E850E2" w:rsidRPr="008A3160" w:rsidRDefault="00E850E2" w:rsidP="00217E39">
            <w:pPr>
              <w:rPr>
                <w:rFonts w:ascii="Times New Roman" w:hAnsi="Times New Roman" w:cs="Times New Roman"/>
                <w:color w:val="000000"/>
              </w:rPr>
            </w:pPr>
            <w:r w:rsidRPr="008A3160">
              <w:rPr>
                <w:rFonts w:ascii="Times New Roman" w:hAnsi="Times New Roman" w:cs="Times New Roman"/>
                <w:color w:val="000000"/>
              </w:rPr>
              <w:t>0.046</w:t>
            </w:r>
          </w:p>
        </w:tc>
      </w:tr>
    </w:tbl>
    <w:p w14:paraId="632AA77A" w14:textId="77777777" w:rsidR="00E850E2" w:rsidRPr="00F325F3" w:rsidRDefault="00E850E2" w:rsidP="00E850E2">
      <w:pPr>
        <w:jc w:val="both"/>
        <w:rPr>
          <w:rFonts w:ascii="Times New Roman" w:hAnsi="Times New Roman" w:cs="Times New Roman"/>
          <w:kern w:val="0"/>
          <w:sz w:val="22"/>
          <w:szCs w:val="22"/>
          <w:lang w:val="en-GB"/>
        </w:rPr>
      </w:pPr>
      <w:r w:rsidRPr="008A3160">
        <w:rPr>
          <w:rFonts w:ascii="Times New Roman" w:hAnsi="Times New Roman" w:cs="Times New Roman"/>
          <w:kern w:val="0"/>
          <w:lang w:val="en-GB"/>
        </w:rPr>
        <w:t>alternative hypothesis: Granger causality for at least one individual</w:t>
      </w:r>
    </w:p>
    <w:p w14:paraId="7667EEE0" w14:textId="77777777" w:rsidR="00E850E2" w:rsidRPr="00F325F3" w:rsidRDefault="00E850E2" w:rsidP="00E850E2">
      <w:pPr>
        <w:jc w:val="both"/>
        <w:rPr>
          <w:rFonts w:ascii="Times New Roman" w:hAnsi="Times New Roman" w:cs="Times New Roman"/>
          <w:kern w:val="0"/>
          <w:sz w:val="22"/>
          <w:szCs w:val="22"/>
          <w:lang w:val="en-GB"/>
        </w:rPr>
      </w:pPr>
    </w:p>
    <w:p w14:paraId="0C43F560" w14:textId="77777777" w:rsidR="00E850E2" w:rsidRDefault="00E850E2" w:rsidP="00E850E2">
      <w:pPr>
        <w:autoSpaceDE w:val="0"/>
        <w:autoSpaceDN w:val="0"/>
        <w:adjustRightInd w:val="0"/>
        <w:jc w:val="both"/>
        <w:rPr>
          <w:rFonts w:ascii="Times New Roman" w:hAnsi="Times New Roman" w:cs="Times New Roman"/>
          <w:b/>
          <w:bCs/>
          <w:kern w:val="0"/>
          <w:sz w:val="22"/>
          <w:szCs w:val="22"/>
          <w:lang w:val="en-GB"/>
        </w:rPr>
        <w:sectPr w:rsidR="00E850E2" w:rsidSect="00E850E2">
          <w:pgSz w:w="11900" w:h="16820"/>
          <w:pgMar w:top="802" w:right="1134" w:bottom="1134" w:left="1417" w:header="708" w:footer="708" w:gutter="0"/>
          <w:cols w:space="708"/>
          <w:docGrid w:linePitch="360"/>
        </w:sectPr>
      </w:pPr>
    </w:p>
    <w:p w14:paraId="262909DE" w14:textId="77777777" w:rsidR="00E850E2" w:rsidRPr="008A3160" w:rsidRDefault="00E850E2" w:rsidP="00E850E2">
      <w:pPr>
        <w:autoSpaceDE w:val="0"/>
        <w:autoSpaceDN w:val="0"/>
        <w:adjustRightInd w:val="0"/>
        <w:jc w:val="both"/>
        <w:rPr>
          <w:rFonts w:ascii="Times New Roman" w:hAnsi="Times New Roman" w:cs="Times New Roman"/>
          <w:b/>
          <w:bCs/>
          <w:kern w:val="0"/>
          <w:lang w:val="en-GB"/>
        </w:rPr>
      </w:pPr>
      <w:r w:rsidRPr="008A3160">
        <w:rPr>
          <w:rFonts w:ascii="Times New Roman" w:hAnsi="Times New Roman" w:cs="Times New Roman"/>
          <w:b/>
          <w:bCs/>
          <w:kern w:val="0"/>
          <w:lang w:val="en-GB"/>
        </w:rPr>
        <w:lastRenderedPageBreak/>
        <w:t>Table A4:</w:t>
      </w:r>
      <w:r w:rsidRPr="008A3160">
        <w:rPr>
          <w:rFonts w:ascii="Times New Roman" w:hAnsi="Times New Roman" w:cs="Times New Roman"/>
          <w:kern w:val="0"/>
        </w:rPr>
        <w:t xml:space="preserve"> Spatial dynamic panel estimates</w:t>
      </w:r>
      <w:r w:rsidRPr="008A3160">
        <w:rPr>
          <w:rFonts w:ascii="Times New Roman" w:hAnsi="Times New Roman" w:cs="Times New Roman"/>
          <w:kern w:val="0"/>
          <w:lang w:val="en-GB"/>
        </w:rPr>
        <w:t xml:space="preserve"> with EU Member States</w:t>
      </w:r>
    </w:p>
    <w:tbl>
      <w:tblPr>
        <w:tblW w:w="0" w:type="auto"/>
        <w:tblCellMar>
          <w:left w:w="70" w:type="dxa"/>
          <w:right w:w="70" w:type="dxa"/>
        </w:tblCellMar>
        <w:tblLook w:val="04A0" w:firstRow="1" w:lastRow="0" w:firstColumn="1" w:lastColumn="0" w:noHBand="0" w:noVBand="1"/>
      </w:tblPr>
      <w:tblGrid>
        <w:gridCol w:w="2187"/>
        <w:gridCol w:w="1040"/>
        <w:gridCol w:w="1040"/>
        <w:gridCol w:w="1040"/>
        <w:gridCol w:w="1040"/>
        <w:gridCol w:w="1040"/>
      </w:tblGrid>
      <w:tr w:rsidR="00E850E2" w:rsidRPr="008A3160" w14:paraId="797E47A0" w14:textId="77777777" w:rsidTr="00217E39">
        <w:trPr>
          <w:trHeight w:val="20"/>
        </w:trPr>
        <w:tc>
          <w:tcPr>
            <w:tcW w:w="0" w:type="auto"/>
            <w:tcBorders>
              <w:top w:val="single" w:sz="12" w:space="0" w:color="auto"/>
              <w:left w:val="nil"/>
              <w:bottom w:val="single" w:sz="12" w:space="0" w:color="auto"/>
              <w:right w:val="nil"/>
            </w:tcBorders>
            <w:vAlign w:val="center"/>
            <w:hideMark/>
          </w:tcPr>
          <w:p w14:paraId="0F6C40A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 </w:t>
            </w:r>
          </w:p>
        </w:tc>
        <w:tc>
          <w:tcPr>
            <w:tcW w:w="0" w:type="auto"/>
            <w:tcBorders>
              <w:top w:val="single" w:sz="12" w:space="0" w:color="auto"/>
              <w:left w:val="nil"/>
              <w:bottom w:val="single" w:sz="12" w:space="0" w:color="auto"/>
              <w:right w:val="nil"/>
            </w:tcBorders>
            <w:vAlign w:val="center"/>
            <w:hideMark/>
          </w:tcPr>
          <w:p w14:paraId="46F8E038"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c>
          <w:tcPr>
            <w:tcW w:w="0" w:type="auto"/>
            <w:tcBorders>
              <w:top w:val="single" w:sz="12" w:space="0" w:color="auto"/>
              <w:left w:val="nil"/>
              <w:bottom w:val="single" w:sz="12" w:space="0" w:color="auto"/>
              <w:right w:val="nil"/>
            </w:tcBorders>
            <w:vAlign w:val="center"/>
            <w:hideMark/>
          </w:tcPr>
          <w:p w14:paraId="54BE9BDC"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c>
          <w:tcPr>
            <w:tcW w:w="0" w:type="auto"/>
            <w:tcBorders>
              <w:top w:val="single" w:sz="12" w:space="0" w:color="auto"/>
              <w:left w:val="nil"/>
              <w:bottom w:val="single" w:sz="12" w:space="0" w:color="auto"/>
              <w:right w:val="nil"/>
            </w:tcBorders>
            <w:vAlign w:val="center"/>
            <w:hideMark/>
          </w:tcPr>
          <w:p w14:paraId="2F6E26C2"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c>
          <w:tcPr>
            <w:tcW w:w="0" w:type="auto"/>
            <w:tcBorders>
              <w:top w:val="single" w:sz="12" w:space="0" w:color="auto"/>
              <w:left w:val="nil"/>
              <w:bottom w:val="single" w:sz="12" w:space="0" w:color="auto"/>
              <w:right w:val="nil"/>
            </w:tcBorders>
            <w:shd w:val="clear" w:color="000000" w:fill="FFFFFF"/>
            <w:vAlign w:val="center"/>
            <w:hideMark/>
          </w:tcPr>
          <w:p w14:paraId="2FD1A02B"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c>
          <w:tcPr>
            <w:tcW w:w="0" w:type="auto"/>
            <w:tcBorders>
              <w:top w:val="single" w:sz="12" w:space="0" w:color="auto"/>
              <w:left w:val="nil"/>
              <w:bottom w:val="single" w:sz="12" w:space="0" w:color="auto"/>
              <w:right w:val="nil"/>
            </w:tcBorders>
            <w:vAlign w:val="center"/>
            <w:hideMark/>
          </w:tcPr>
          <w:p w14:paraId="17FA543C" w14:textId="77777777" w:rsidR="00E850E2" w:rsidRPr="008A3160" w:rsidRDefault="00E850E2" w:rsidP="00217E39">
            <w:pPr>
              <w:rPr>
                <w:rFonts w:ascii="Times New Roman" w:eastAsia="Times New Roman" w:hAnsi="Times New Roman" w:cs="Times New Roman"/>
                <w:b/>
                <w:bCs/>
                <w:color w:val="000000"/>
                <w:kern w:val="0"/>
                <w:lang w:val="it-IT" w:eastAsia="it-IT"/>
                <w14:ligatures w14:val="none"/>
              </w:rPr>
            </w:pPr>
            <w:r w:rsidRPr="008A3160">
              <w:rPr>
                <w:rFonts w:ascii="Times New Roman" w:eastAsia="Times New Roman" w:hAnsi="Times New Roman" w:cs="Times New Roman"/>
                <w:b/>
                <w:bCs/>
                <w:color w:val="000000"/>
                <w:kern w:val="0"/>
                <w:lang w:val="it-IT" w:eastAsia="it-IT"/>
                <w14:ligatures w14:val="none"/>
              </w:rPr>
              <w:t xml:space="preserve">SAR </w:t>
            </w:r>
          </w:p>
        </w:tc>
      </w:tr>
      <w:tr w:rsidR="00E850E2" w:rsidRPr="008A3160" w14:paraId="41C2BE96" w14:textId="77777777" w:rsidTr="00217E39">
        <w:trPr>
          <w:trHeight w:val="20"/>
        </w:trPr>
        <w:tc>
          <w:tcPr>
            <w:tcW w:w="0" w:type="auto"/>
            <w:tcBorders>
              <w:top w:val="nil"/>
              <w:left w:val="nil"/>
              <w:bottom w:val="nil"/>
              <w:right w:val="nil"/>
            </w:tcBorders>
            <w:vAlign w:val="center"/>
            <w:hideMark/>
          </w:tcPr>
          <w:p w14:paraId="7C8ED06A"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Spatial</w:t>
            </w:r>
            <w:proofErr w:type="spellEnd"/>
            <w:r w:rsidRPr="008A3160">
              <w:rPr>
                <w:rFonts w:ascii="Times New Roman" w:eastAsia="Times New Roman" w:hAnsi="Times New Roman" w:cs="Times New Roman"/>
                <w:i/>
                <w:iCs/>
                <w:color w:val="000000"/>
                <w:kern w:val="0"/>
                <w:lang w:val="it-IT" w:eastAsia="it-IT"/>
                <w14:ligatures w14:val="none"/>
              </w:rPr>
              <w:t xml:space="preserve"> lag (TBT)</w:t>
            </w:r>
          </w:p>
        </w:tc>
        <w:tc>
          <w:tcPr>
            <w:tcW w:w="0" w:type="auto"/>
            <w:tcBorders>
              <w:top w:val="nil"/>
              <w:left w:val="nil"/>
              <w:bottom w:val="nil"/>
              <w:right w:val="nil"/>
            </w:tcBorders>
            <w:vAlign w:val="center"/>
            <w:hideMark/>
          </w:tcPr>
          <w:p w14:paraId="0DDE662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0.555***</w:t>
            </w:r>
          </w:p>
        </w:tc>
        <w:tc>
          <w:tcPr>
            <w:tcW w:w="0" w:type="auto"/>
            <w:tcBorders>
              <w:top w:val="nil"/>
              <w:left w:val="nil"/>
              <w:bottom w:val="nil"/>
              <w:right w:val="nil"/>
            </w:tcBorders>
            <w:vAlign w:val="center"/>
            <w:hideMark/>
          </w:tcPr>
          <w:p w14:paraId="2800979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0.553***</w:t>
            </w:r>
          </w:p>
        </w:tc>
        <w:tc>
          <w:tcPr>
            <w:tcW w:w="0" w:type="auto"/>
            <w:tcBorders>
              <w:top w:val="nil"/>
              <w:left w:val="nil"/>
              <w:bottom w:val="nil"/>
              <w:right w:val="nil"/>
            </w:tcBorders>
            <w:vAlign w:val="center"/>
            <w:hideMark/>
          </w:tcPr>
          <w:p w14:paraId="39C45E0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0.467***</w:t>
            </w:r>
          </w:p>
        </w:tc>
        <w:tc>
          <w:tcPr>
            <w:tcW w:w="0" w:type="auto"/>
            <w:tcBorders>
              <w:top w:val="nil"/>
              <w:left w:val="nil"/>
              <w:bottom w:val="nil"/>
              <w:right w:val="nil"/>
            </w:tcBorders>
            <w:vAlign w:val="center"/>
            <w:hideMark/>
          </w:tcPr>
          <w:p w14:paraId="3D5770F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0.154***</w:t>
            </w:r>
          </w:p>
        </w:tc>
        <w:tc>
          <w:tcPr>
            <w:tcW w:w="0" w:type="auto"/>
            <w:tcBorders>
              <w:top w:val="nil"/>
              <w:left w:val="nil"/>
              <w:bottom w:val="nil"/>
              <w:right w:val="nil"/>
            </w:tcBorders>
            <w:vAlign w:val="center"/>
            <w:hideMark/>
          </w:tcPr>
          <w:p w14:paraId="5E96297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r>
      <w:tr w:rsidR="00E850E2" w:rsidRPr="008A3160" w14:paraId="0A75FE88" w14:textId="77777777" w:rsidTr="00217E39">
        <w:trPr>
          <w:trHeight w:val="20"/>
        </w:trPr>
        <w:tc>
          <w:tcPr>
            <w:tcW w:w="0" w:type="auto"/>
            <w:tcBorders>
              <w:top w:val="nil"/>
              <w:left w:val="nil"/>
              <w:bottom w:val="nil"/>
              <w:right w:val="nil"/>
            </w:tcBorders>
            <w:vAlign w:val="center"/>
            <w:hideMark/>
          </w:tcPr>
          <w:p w14:paraId="671644F9"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5C61056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(0.049)</w:t>
            </w:r>
          </w:p>
        </w:tc>
        <w:tc>
          <w:tcPr>
            <w:tcW w:w="0" w:type="auto"/>
            <w:tcBorders>
              <w:top w:val="nil"/>
              <w:left w:val="nil"/>
              <w:bottom w:val="nil"/>
              <w:right w:val="nil"/>
            </w:tcBorders>
            <w:vAlign w:val="center"/>
            <w:hideMark/>
          </w:tcPr>
          <w:p w14:paraId="111957C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(0.048)</w:t>
            </w:r>
          </w:p>
        </w:tc>
        <w:tc>
          <w:tcPr>
            <w:tcW w:w="0" w:type="auto"/>
            <w:tcBorders>
              <w:top w:val="nil"/>
              <w:left w:val="nil"/>
              <w:bottom w:val="nil"/>
              <w:right w:val="nil"/>
            </w:tcBorders>
            <w:vAlign w:val="center"/>
            <w:hideMark/>
          </w:tcPr>
          <w:p w14:paraId="14491D7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(0.041)</w:t>
            </w:r>
          </w:p>
        </w:tc>
        <w:tc>
          <w:tcPr>
            <w:tcW w:w="0" w:type="auto"/>
            <w:tcBorders>
              <w:top w:val="nil"/>
              <w:left w:val="nil"/>
              <w:bottom w:val="nil"/>
              <w:right w:val="nil"/>
            </w:tcBorders>
            <w:vAlign w:val="center"/>
            <w:hideMark/>
          </w:tcPr>
          <w:p w14:paraId="53FC7CE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(0.028)</w:t>
            </w:r>
          </w:p>
        </w:tc>
        <w:tc>
          <w:tcPr>
            <w:tcW w:w="0" w:type="auto"/>
            <w:tcBorders>
              <w:top w:val="nil"/>
              <w:left w:val="nil"/>
              <w:bottom w:val="nil"/>
              <w:right w:val="nil"/>
            </w:tcBorders>
            <w:noWrap/>
            <w:vAlign w:val="bottom"/>
            <w:hideMark/>
          </w:tcPr>
          <w:p w14:paraId="1851855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r>
      <w:tr w:rsidR="00E850E2" w:rsidRPr="008A3160" w14:paraId="23E16E5E" w14:textId="77777777" w:rsidTr="00217E39">
        <w:trPr>
          <w:trHeight w:val="20"/>
        </w:trPr>
        <w:tc>
          <w:tcPr>
            <w:tcW w:w="0" w:type="auto"/>
            <w:tcBorders>
              <w:top w:val="nil"/>
              <w:left w:val="nil"/>
              <w:bottom w:val="nil"/>
              <w:right w:val="nil"/>
            </w:tcBorders>
            <w:vAlign w:val="center"/>
            <w:hideMark/>
          </w:tcPr>
          <w:p w14:paraId="6BB24E4B"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Spatial</w:t>
            </w:r>
            <w:proofErr w:type="spellEnd"/>
            <w:r w:rsidRPr="008A3160">
              <w:rPr>
                <w:rFonts w:ascii="Times New Roman" w:eastAsia="Times New Roman" w:hAnsi="Times New Roman" w:cs="Times New Roman"/>
                <w:i/>
                <w:iCs/>
                <w:color w:val="000000"/>
                <w:kern w:val="0"/>
                <w:lang w:val="it-IT" w:eastAsia="it-IT"/>
                <w14:ligatures w14:val="none"/>
              </w:rPr>
              <w:t xml:space="preserve"> lag (lag TBT)</w:t>
            </w:r>
          </w:p>
        </w:tc>
        <w:tc>
          <w:tcPr>
            <w:tcW w:w="0" w:type="auto"/>
            <w:tcBorders>
              <w:top w:val="nil"/>
              <w:left w:val="nil"/>
              <w:bottom w:val="nil"/>
              <w:right w:val="nil"/>
            </w:tcBorders>
            <w:vAlign w:val="center"/>
            <w:hideMark/>
          </w:tcPr>
          <w:p w14:paraId="32727780"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6C5F44AF"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1DDAEFF4"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73341936"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30B827F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0.043</w:t>
            </w:r>
          </w:p>
        </w:tc>
      </w:tr>
      <w:tr w:rsidR="00E850E2" w:rsidRPr="008A3160" w14:paraId="4B1BCBB6" w14:textId="77777777" w:rsidTr="00217E39">
        <w:trPr>
          <w:trHeight w:val="20"/>
        </w:trPr>
        <w:tc>
          <w:tcPr>
            <w:tcW w:w="0" w:type="auto"/>
            <w:tcBorders>
              <w:top w:val="nil"/>
              <w:left w:val="nil"/>
              <w:bottom w:val="nil"/>
              <w:right w:val="nil"/>
            </w:tcBorders>
            <w:vAlign w:val="center"/>
            <w:hideMark/>
          </w:tcPr>
          <w:p w14:paraId="1A53E4D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1F7FCE86"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522B52A"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1F8CAE81"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730F3EB6"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AE5C0A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(0.030)</w:t>
            </w:r>
          </w:p>
        </w:tc>
      </w:tr>
      <w:tr w:rsidR="00E850E2" w:rsidRPr="008A3160" w14:paraId="24346238" w14:textId="77777777" w:rsidTr="00217E39">
        <w:trPr>
          <w:trHeight w:val="20"/>
        </w:trPr>
        <w:tc>
          <w:tcPr>
            <w:tcW w:w="0" w:type="auto"/>
            <w:tcBorders>
              <w:top w:val="nil"/>
              <w:left w:val="nil"/>
              <w:bottom w:val="nil"/>
              <w:right w:val="nil"/>
            </w:tcBorders>
            <w:vAlign w:val="center"/>
            <w:hideMark/>
          </w:tcPr>
          <w:p w14:paraId="0462DC30"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Lag (TBT)</w:t>
            </w:r>
          </w:p>
        </w:tc>
        <w:tc>
          <w:tcPr>
            <w:tcW w:w="0" w:type="auto"/>
            <w:tcBorders>
              <w:top w:val="nil"/>
              <w:left w:val="nil"/>
              <w:bottom w:val="nil"/>
              <w:right w:val="nil"/>
            </w:tcBorders>
            <w:vAlign w:val="center"/>
            <w:hideMark/>
          </w:tcPr>
          <w:p w14:paraId="5FA5D376"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77AE2E48"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703266E1"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58A1C72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0.599***</w:t>
            </w:r>
          </w:p>
        </w:tc>
        <w:tc>
          <w:tcPr>
            <w:tcW w:w="0" w:type="auto"/>
            <w:tcBorders>
              <w:top w:val="nil"/>
              <w:left w:val="nil"/>
              <w:bottom w:val="nil"/>
              <w:right w:val="nil"/>
            </w:tcBorders>
            <w:vAlign w:val="center"/>
            <w:hideMark/>
          </w:tcPr>
          <w:p w14:paraId="51617E3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0.587***</w:t>
            </w:r>
          </w:p>
        </w:tc>
      </w:tr>
      <w:tr w:rsidR="00E850E2" w:rsidRPr="008A3160" w14:paraId="79FFA7EC" w14:textId="77777777" w:rsidTr="00217E39">
        <w:trPr>
          <w:trHeight w:val="20"/>
        </w:trPr>
        <w:tc>
          <w:tcPr>
            <w:tcW w:w="0" w:type="auto"/>
            <w:tcBorders>
              <w:top w:val="nil"/>
              <w:left w:val="nil"/>
              <w:bottom w:val="nil"/>
              <w:right w:val="nil"/>
            </w:tcBorders>
            <w:vAlign w:val="center"/>
            <w:hideMark/>
          </w:tcPr>
          <w:p w14:paraId="08A8CE7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4F04A58F"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05036FF"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05A7229"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8DA581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(0.014)</w:t>
            </w:r>
          </w:p>
        </w:tc>
        <w:tc>
          <w:tcPr>
            <w:tcW w:w="0" w:type="auto"/>
            <w:tcBorders>
              <w:top w:val="nil"/>
              <w:left w:val="nil"/>
              <w:bottom w:val="nil"/>
              <w:right w:val="nil"/>
            </w:tcBorders>
            <w:vAlign w:val="center"/>
            <w:hideMark/>
          </w:tcPr>
          <w:p w14:paraId="7B72B11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(0.023)</w:t>
            </w:r>
          </w:p>
        </w:tc>
      </w:tr>
      <w:tr w:rsidR="00E850E2" w:rsidRPr="008A3160" w14:paraId="48932340" w14:textId="77777777" w:rsidTr="00217E39">
        <w:trPr>
          <w:trHeight w:val="20"/>
        </w:trPr>
        <w:tc>
          <w:tcPr>
            <w:tcW w:w="0" w:type="auto"/>
            <w:tcBorders>
              <w:top w:val="nil"/>
              <w:left w:val="nil"/>
              <w:bottom w:val="nil"/>
              <w:right w:val="nil"/>
            </w:tcBorders>
            <w:vAlign w:val="center"/>
            <w:hideMark/>
          </w:tcPr>
          <w:p w14:paraId="5FDA0557"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envRTA</w:t>
            </w:r>
            <w:proofErr w:type="spellEnd"/>
          </w:p>
        </w:tc>
        <w:tc>
          <w:tcPr>
            <w:tcW w:w="0" w:type="auto"/>
            <w:tcBorders>
              <w:top w:val="nil"/>
              <w:left w:val="nil"/>
              <w:bottom w:val="nil"/>
              <w:right w:val="nil"/>
            </w:tcBorders>
            <w:vAlign w:val="center"/>
            <w:hideMark/>
          </w:tcPr>
          <w:p w14:paraId="4A0BB72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0.597***</w:t>
            </w:r>
          </w:p>
        </w:tc>
        <w:tc>
          <w:tcPr>
            <w:tcW w:w="0" w:type="auto"/>
            <w:tcBorders>
              <w:top w:val="nil"/>
              <w:left w:val="nil"/>
              <w:bottom w:val="nil"/>
              <w:right w:val="nil"/>
            </w:tcBorders>
            <w:vAlign w:val="center"/>
            <w:hideMark/>
          </w:tcPr>
          <w:p w14:paraId="3E7DC66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7A324871"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76121920"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F5AC70E" w14:textId="77777777" w:rsidR="00E850E2" w:rsidRPr="008A3160" w:rsidRDefault="00E850E2" w:rsidP="00217E39">
            <w:pPr>
              <w:rPr>
                <w:rFonts w:ascii="Times New Roman" w:eastAsia="Times New Roman" w:hAnsi="Times New Roman" w:cs="Times New Roman"/>
                <w:kern w:val="0"/>
                <w:lang w:val="it-IT" w:eastAsia="it-IT"/>
                <w14:ligatures w14:val="none"/>
              </w:rPr>
            </w:pPr>
          </w:p>
        </w:tc>
      </w:tr>
      <w:tr w:rsidR="00E850E2" w:rsidRPr="008A3160" w14:paraId="2FE9357F" w14:textId="77777777" w:rsidTr="00217E39">
        <w:trPr>
          <w:trHeight w:val="20"/>
        </w:trPr>
        <w:tc>
          <w:tcPr>
            <w:tcW w:w="0" w:type="auto"/>
            <w:tcBorders>
              <w:top w:val="nil"/>
              <w:left w:val="nil"/>
              <w:bottom w:val="nil"/>
              <w:right w:val="nil"/>
            </w:tcBorders>
            <w:vAlign w:val="center"/>
            <w:hideMark/>
          </w:tcPr>
          <w:p w14:paraId="4FBC2CCF"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10FE3E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(0.063)</w:t>
            </w:r>
          </w:p>
        </w:tc>
        <w:tc>
          <w:tcPr>
            <w:tcW w:w="0" w:type="auto"/>
            <w:tcBorders>
              <w:top w:val="nil"/>
              <w:left w:val="nil"/>
              <w:bottom w:val="nil"/>
              <w:right w:val="nil"/>
            </w:tcBorders>
            <w:vAlign w:val="center"/>
            <w:hideMark/>
          </w:tcPr>
          <w:p w14:paraId="59A6110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52E8B8D3"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5075630"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582399E" w14:textId="77777777" w:rsidR="00E850E2" w:rsidRPr="008A3160" w:rsidRDefault="00E850E2" w:rsidP="00217E39">
            <w:pPr>
              <w:rPr>
                <w:rFonts w:ascii="Times New Roman" w:eastAsia="Times New Roman" w:hAnsi="Times New Roman" w:cs="Times New Roman"/>
                <w:kern w:val="0"/>
                <w:lang w:val="it-IT" w:eastAsia="it-IT"/>
                <w14:ligatures w14:val="none"/>
              </w:rPr>
            </w:pPr>
          </w:p>
        </w:tc>
      </w:tr>
      <w:tr w:rsidR="00E850E2" w:rsidRPr="008A3160" w14:paraId="001722C5" w14:textId="77777777" w:rsidTr="00217E39">
        <w:trPr>
          <w:trHeight w:val="20"/>
        </w:trPr>
        <w:tc>
          <w:tcPr>
            <w:tcW w:w="0" w:type="auto"/>
            <w:tcBorders>
              <w:top w:val="nil"/>
              <w:left w:val="nil"/>
              <w:bottom w:val="nil"/>
              <w:right w:val="nil"/>
            </w:tcBorders>
            <w:vAlign w:val="center"/>
            <w:hideMark/>
          </w:tcPr>
          <w:p w14:paraId="20B60D79"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RTA1025</w:t>
            </w:r>
          </w:p>
        </w:tc>
        <w:tc>
          <w:tcPr>
            <w:tcW w:w="0" w:type="auto"/>
            <w:tcBorders>
              <w:top w:val="nil"/>
              <w:left w:val="nil"/>
              <w:bottom w:val="nil"/>
              <w:right w:val="nil"/>
            </w:tcBorders>
            <w:vAlign w:val="center"/>
            <w:hideMark/>
          </w:tcPr>
          <w:p w14:paraId="032FA79D"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563DDE8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1.624***</w:t>
            </w:r>
          </w:p>
        </w:tc>
        <w:tc>
          <w:tcPr>
            <w:tcW w:w="0" w:type="auto"/>
            <w:tcBorders>
              <w:top w:val="nil"/>
              <w:left w:val="nil"/>
              <w:bottom w:val="nil"/>
              <w:right w:val="nil"/>
            </w:tcBorders>
            <w:vAlign w:val="center"/>
            <w:hideMark/>
          </w:tcPr>
          <w:p w14:paraId="1E8F504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1.625***</w:t>
            </w:r>
          </w:p>
        </w:tc>
        <w:tc>
          <w:tcPr>
            <w:tcW w:w="0" w:type="auto"/>
            <w:tcBorders>
              <w:top w:val="nil"/>
              <w:left w:val="nil"/>
              <w:bottom w:val="nil"/>
              <w:right w:val="nil"/>
            </w:tcBorders>
            <w:vAlign w:val="center"/>
            <w:hideMark/>
          </w:tcPr>
          <w:p w14:paraId="7B0816E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0.448*</w:t>
            </w:r>
          </w:p>
        </w:tc>
        <w:tc>
          <w:tcPr>
            <w:tcW w:w="0" w:type="auto"/>
            <w:tcBorders>
              <w:top w:val="nil"/>
              <w:left w:val="nil"/>
              <w:bottom w:val="nil"/>
              <w:right w:val="nil"/>
            </w:tcBorders>
            <w:vAlign w:val="center"/>
            <w:hideMark/>
          </w:tcPr>
          <w:p w14:paraId="0063649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0.355</w:t>
            </w:r>
          </w:p>
        </w:tc>
      </w:tr>
      <w:tr w:rsidR="00E850E2" w:rsidRPr="008A3160" w14:paraId="305F8A6B" w14:textId="77777777" w:rsidTr="00217E39">
        <w:trPr>
          <w:trHeight w:val="20"/>
        </w:trPr>
        <w:tc>
          <w:tcPr>
            <w:tcW w:w="0" w:type="auto"/>
            <w:tcBorders>
              <w:top w:val="nil"/>
              <w:left w:val="nil"/>
              <w:bottom w:val="nil"/>
              <w:right w:val="nil"/>
            </w:tcBorders>
            <w:vAlign w:val="center"/>
            <w:hideMark/>
          </w:tcPr>
          <w:p w14:paraId="129D833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3FC06854"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536F464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(0.302)</w:t>
            </w:r>
          </w:p>
        </w:tc>
        <w:tc>
          <w:tcPr>
            <w:tcW w:w="0" w:type="auto"/>
            <w:tcBorders>
              <w:top w:val="nil"/>
              <w:left w:val="nil"/>
              <w:bottom w:val="nil"/>
              <w:right w:val="nil"/>
            </w:tcBorders>
            <w:vAlign w:val="center"/>
            <w:hideMark/>
          </w:tcPr>
          <w:p w14:paraId="6EE92C9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(0.297)</w:t>
            </w:r>
          </w:p>
        </w:tc>
        <w:tc>
          <w:tcPr>
            <w:tcW w:w="0" w:type="auto"/>
            <w:tcBorders>
              <w:top w:val="nil"/>
              <w:left w:val="nil"/>
              <w:bottom w:val="nil"/>
              <w:right w:val="nil"/>
            </w:tcBorders>
            <w:vAlign w:val="center"/>
            <w:hideMark/>
          </w:tcPr>
          <w:p w14:paraId="0261CD7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(0.231)</w:t>
            </w:r>
          </w:p>
        </w:tc>
        <w:tc>
          <w:tcPr>
            <w:tcW w:w="0" w:type="auto"/>
            <w:tcBorders>
              <w:top w:val="nil"/>
              <w:left w:val="nil"/>
              <w:bottom w:val="nil"/>
              <w:right w:val="nil"/>
            </w:tcBorders>
            <w:vAlign w:val="center"/>
            <w:hideMark/>
          </w:tcPr>
          <w:p w14:paraId="7D152CA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(0.232)</w:t>
            </w:r>
          </w:p>
        </w:tc>
      </w:tr>
      <w:tr w:rsidR="00E850E2" w:rsidRPr="008A3160" w14:paraId="52B0DBDB" w14:textId="77777777" w:rsidTr="00217E39">
        <w:trPr>
          <w:trHeight w:val="20"/>
        </w:trPr>
        <w:tc>
          <w:tcPr>
            <w:tcW w:w="0" w:type="auto"/>
            <w:tcBorders>
              <w:top w:val="nil"/>
              <w:left w:val="nil"/>
              <w:bottom w:val="nil"/>
              <w:right w:val="nil"/>
            </w:tcBorders>
            <w:vAlign w:val="center"/>
            <w:hideMark/>
          </w:tcPr>
          <w:p w14:paraId="5C4E03A9"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RTA1026</w:t>
            </w:r>
          </w:p>
        </w:tc>
        <w:tc>
          <w:tcPr>
            <w:tcW w:w="0" w:type="auto"/>
            <w:tcBorders>
              <w:top w:val="nil"/>
              <w:left w:val="nil"/>
              <w:bottom w:val="nil"/>
              <w:right w:val="nil"/>
            </w:tcBorders>
            <w:vAlign w:val="center"/>
            <w:hideMark/>
          </w:tcPr>
          <w:p w14:paraId="37EF4D9A"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7280D34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-0.429</w:t>
            </w:r>
          </w:p>
        </w:tc>
        <w:tc>
          <w:tcPr>
            <w:tcW w:w="0" w:type="auto"/>
            <w:tcBorders>
              <w:top w:val="nil"/>
              <w:left w:val="nil"/>
              <w:bottom w:val="nil"/>
              <w:right w:val="nil"/>
            </w:tcBorders>
            <w:vAlign w:val="center"/>
            <w:hideMark/>
          </w:tcPr>
          <w:p w14:paraId="5337205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-0.378</w:t>
            </w:r>
          </w:p>
        </w:tc>
        <w:tc>
          <w:tcPr>
            <w:tcW w:w="0" w:type="auto"/>
            <w:tcBorders>
              <w:top w:val="nil"/>
              <w:left w:val="nil"/>
              <w:bottom w:val="nil"/>
              <w:right w:val="nil"/>
            </w:tcBorders>
            <w:vAlign w:val="center"/>
            <w:hideMark/>
          </w:tcPr>
          <w:p w14:paraId="04DF9A1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-0.200</w:t>
            </w:r>
          </w:p>
        </w:tc>
        <w:tc>
          <w:tcPr>
            <w:tcW w:w="0" w:type="auto"/>
            <w:tcBorders>
              <w:top w:val="nil"/>
              <w:left w:val="nil"/>
              <w:bottom w:val="nil"/>
              <w:right w:val="nil"/>
            </w:tcBorders>
            <w:vAlign w:val="center"/>
            <w:hideMark/>
          </w:tcPr>
          <w:p w14:paraId="112850C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-0.071</w:t>
            </w:r>
          </w:p>
        </w:tc>
      </w:tr>
      <w:tr w:rsidR="00E850E2" w:rsidRPr="008A3160" w14:paraId="4B8AF2FC" w14:textId="77777777" w:rsidTr="00217E39">
        <w:trPr>
          <w:trHeight w:val="20"/>
        </w:trPr>
        <w:tc>
          <w:tcPr>
            <w:tcW w:w="0" w:type="auto"/>
            <w:tcBorders>
              <w:top w:val="nil"/>
              <w:left w:val="nil"/>
              <w:bottom w:val="nil"/>
              <w:right w:val="nil"/>
            </w:tcBorders>
            <w:vAlign w:val="center"/>
            <w:hideMark/>
          </w:tcPr>
          <w:p w14:paraId="65EF456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2746B9B8"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5F4F82E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(0.306)</w:t>
            </w:r>
          </w:p>
        </w:tc>
        <w:tc>
          <w:tcPr>
            <w:tcW w:w="0" w:type="auto"/>
            <w:tcBorders>
              <w:top w:val="nil"/>
              <w:left w:val="nil"/>
              <w:bottom w:val="nil"/>
              <w:right w:val="nil"/>
            </w:tcBorders>
            <w:vAlign w:val="center"/>
            <w:hideMark/>
          </w:tcPr>
          <w:p w14:paraId="085D1D6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(0.299)</w:t>
            </w:r>
          </w:p>
        </w:tc>
        <w:tc>
          <w:tcPr>
            <w:tcW w:w="0" w:type="auto"/>
            <w:tcBorders>
              <w:top w:val="nil"/>
              <w:left w:val="nil"/>
              <w:bottom w:val="nil"/>
              <w:right w:val="nil"/>
            </w:tcBorders>
            <w:vAlign w:val="center"/>
            <w:hideMark/>
          </w:tcPr>
          <w:p w14:paraId="773DB13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(0.231)</w:t>
            </w:r>
          </w:p>
        </w:tc>
        <w:tc>
          <w:tcPr>
            <w:tcW w:w="0" w:type="auto"/>
            <w:tcBorders>
              <w:top w:val="nil"/>
              <w:left w:val="nil"/>
              <w:bottom w:val="nil"/>
              <w:right w:val="nil"/>
            </w:tcBorders>
            <w:vAlign w:val="center"/>
            <w:hideMark/>
          </w:tcPr>
          <w:p w14:paraId="14C458A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(0.230)</w:t>
            </w:r>
          </w:p>
        </w:tc>
      </w:tr>
      <w:tr w:rsidR="00E850E2" w:rsidRPr="008A3160" w14:paraId="0DE79E2C" w14:textId="77777777" w:rsidTr="00217E39">
        <w:trPr>
          <w:trHeight w:val="20"/>
        </w:trPr>
        <w:tc>
          <w:tcPr>
            <w:tcW w:w="0" w:type="auto"/>
            <w:tcBorders>
              <w:top w:val="nil"/>
              <w:left w:val="nil"/>
              <w:bottom w:val="nil"/>
              <w:right w:val="nil"/>
            </w:tcBorders>
            <w:vAlign w:val="center"/>
            <w:hideMark/>
          </w:tcPr>
          <w:p w14:paraId="2C989D57"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Tpes</w:t>
            </w:r>
            <w:proofErr w:type="spellEnd"/>
          </w:p>
        </w:tc>
        <w:tc>
          <w:tcPr>
            <w:tcW w:w="0" w:type="auto"/>
            <w:tcBorders>
              <w:top w:val="nil"/>
              <w:left w:val="nil"/>
              <w:bottom w:val="nil"/>
              <w:right w:val="nil"/>
            </w:tcBorders>
            <w:vAlign w:val="center"/>
            <w:hideMark/>
          </w:tcPr>
          <w:p w14:paraId="75D8ECBE"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1DFF2292"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5FDE03F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0.084</w:t>
            </w:r>
          </w:p>
        </w:tc>
        <w:tc>
          <w:tcPr>
            <w:tcW w:w="0" w:type="auto"/>
            <w:tcBorders>
              <w:top w:val="nil"/>
              <w:left w:val="nil"/>
              <w:bottom w:val="nil"/>
              <w:right w:val="nil"/>
            </w:tcBorders>
            <w:vAlign w:val="center"/>
            <w:hideMark/>
          </w:tcPr>
          <w:p w14:paraId="634A2AA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-0.051</w:t>
            </w:r>
          </w:p>
        </w:tc>
        <w:tc>
          <w:tcPr>
            <w:tcW w:w="0" w:type="auto"/>
            <w:tcBorders>
              <w:top w:val="nil"/>
              <w:left w:val="nil"/>
              <w:bottom w:val="nil"/>
              <w:right w:val="nil"/>
            </w:tcBorders>
            <w:vAlign w:val="center"/>
            <w:hideMark/>
          </w:tcPr>
          <w:p w14:paraId="2F52933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-0.167</w:t>
            </w:r>
          </w:p>
        </w:tc>
      </w:tr>
      <w:tr w:rsidR="00E850E2" w:rsidRPr="008A3160" w14:paraId="1DD1BA9B" w14:textId="77777777" w:rsidTr="00217E39">
        <w:trPr>
          <w:trHeight w:val="20"/>
        </w:trPr>
        <w:tc>
          <w:tcPr>
            <w:tcW w:w="0" w:type="auto"/>
            <w:tcBorders>
              <w:top w:val="nil"/>
              <w:left w:val="nil"/>
              <w:bottom w:val="nil"/>
              <w:right w:val="nil"/>
            </w:tcBorders>
            <w:vAlign w:val="center"/>
            <w:hideMark/>
          </w:tcPr>
          <w:p w14:paraId="09ABC00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1CF17474"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760D3F4F"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7542AA3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(0.259)</w:t>
            </w:r>
          </w:p>
        </w:tc>
        <w:tc>
          <w:tcPr>
            <w:tcW w:w="0" w:type="auto"/>
            <w:tcBorders>
              <w:top w:val="nil"/>
              <w:left w:val="nil"/>
              <w:bottom w:val="nil"/>
              <w:right w:val="nil"/>
            </w:tcBorders>
            <w:vAlign w:val="center"/>
            <w:hideMark/>
          </w:tcPr>
          <w:p w14:paraId="1989DF9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(0.201)</w:t>
            </w:r>
          </w:p>
        </w:tc>
        <w:tc>
          <w:tcPr>
            <w:tcW w:w="0" w:type="auto"/>
            <w:tcBorders>
              <w:top w:val="nil"/>
              <w:left w:val="nil"/>
              <w:bottom w:val="nil"/>
              <w:right w:val="nil"/>
            </w:tcBorders>
            <w:vAlign w:val="center"/>
            <w:hideMark/>
          </w:tcPr>
          <w:p w14:paraId="59549B2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(0.200)</w:t>
            </w:r>
          </w:p>
        </w:tc>
      </w:tr>
      <w:tr w:rsidR="00E850E2" w:rsidRPr="008A3160" w14:paraId="65112219" w14:textId="77777777" w:rsidTr="00217E39">
        <w:trPr>
          <w:trHeight w:val="20"/>
        </w:trPr>
        <w:tc>
          <w:tcPr>
            <w:tcW w:w="0" w:type="auto"/>
            <w:tcBorders>
              <w:top w:val="nil"/>
              <w:left w:val="nil"/>
              <w:bottom w:val="nil"/>
              <w:right w:val="nil"/>
            </w:tcBorders>
            <w:vAlign w:val="center"/>
            <w:hideMark/>
          </w:tcPr>
          <w:p w14:paraId="11F09B10"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Tfert</w:t>
            </w:r>
            <w:proofErr w:type="spellEnd"/>
          </w:p>
        </w:tc>
        <w:tc>
          <w:tcPr>
            <w:tcW w:w="0" w:type="auto"/>
            <w:tcBorders>
              <w:top w:val="nil"/>
              <w:left w:val="nil"/>
              <w:bottom w:val="nil"/>
              <w:right w:val="nil"/>
            </w:tcBorders>
            <w:vAlign w:val="center"/>
            <w:hideMark/>
          </w:tcPr>
          <w:p w14:paraId="5679649E"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0A15D6E5"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2E1CC5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-0.603*</w:t>
            </w:r>
          </w:p>
        </w:tc>
        <w:tc>
          <w:tcPr>
            <w:tcW w:w="0" w:type="auto"/>
            <w:tcBorders>
              <w:top w:val="nil"/>
              <w:left w:val="nil"/>
              <w:bottom w:val="nil"/>
              <w:right w:val="nil"/>
            </w:tcBorders>
            <w:vAlign w:val="center"/>
            <w:hideMark/>
          </w:tcPr>
          <w:p w14:paraId="2B68BB1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-0.325</w:t>
            </w:r>
          </w:p>
        </w:tc>
        <w:tc>
          <w:tcPr>
            <w:tcW w:w="0" w:type="auto"/>
            <w:tcBorders>
              <w:top w:val="nil"/>
              <w:left w:val="nil"/>
              <w:bottom w:val="nil"/>
              <w:right w:val="nil"/>
            </w:tcBorders>
            <w:vAlign w:val="center"/>
            <w:hideMark/>
          </w:tcPr>
          <w:p w14:paraId="6BDF000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-0.396</w:t>
            </w:r>
          </w:p>
        </w:tc>
      </w:tr>
      <w:tr w:rsidR="00E850E2" w:rsidRPr="008A3160" w14:paraId="6E38AD28" w14:textId="77777777" w:rsidTr="00217E39">
        <w:trPr>
          <w:trHeight w:val="20"/>
        </w:trPr>
        <w:tc>
          <w:tcPr>
            <w:tcW w:w="0" w:type="auto"/>
            <w:tcBorders>
              <w:top w:val="nil"/>
              <w:left w:val="nil"/>
              <w:bottom w:val="nil"/>
              <w:right w:val="nil"/>
            </w:tcBorders>
            <w:vAlign w:val="center"/>
            <w:hideMark/>
          </w:tcPr>
          <w:p w14:paraId="5D56083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488574AD"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2D9FD1F"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3FD053CC"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(0.313)</w:t>
            </w:r>
          </w:p>
        </w:tc>
        <w:tc>
          <w:tcPr>
            <w:tcW w:w="0" w:type="auto"/>
            <w:tcBorders>
              <w:top w:val="nil"/>
              <w:left w:val="nil"/>
              <w:bottom w:val="nil"/>
              <w:right w:val="nil"/>
            </w:tcBorders>
            <w:vAlign w:val="center"/>
            <w:hideMark/>
          </w:tcPr>
          <w:p w14:paraId="362B822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(0.243)</w:t>
            </w:r>
          </w:p>
        </w:tc>
        <w:tc>
          <w:tcPr>
            <w:tcW w:w="0" w:type="auto"/>
            <w:tcBorders>
              <w:top w:val="nil"/>
              <w:left w:val="nil"/>
              <w:bottom w:val="nil"/>
              <w:right w:val="nil"/>
            </w:tcBorders>
            <w:vAlign w:val="center"/>
            <w:hideMark/>
          </w:tcPr>
          <w:p w14:paraId="3E2D62E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(0.243)</w:t>
            </w:r>
          </w:p>
        </w:tc>
      </w:tr>
      <w:tr w:rsidR="00E850E2" w:rsidRPr="008A3160" w14:paraId="420372E9" w14:textId="77777777" w:rsidTr="00217E39">
        <w:trPr>
          <w:trHeight w:val="20"/>
        </w:trPr>
        <w:tc>
          <w:tcPr>
            <w:tcW w:w="0" w:type="auto"/>
            <w:tcBorders>
              <w:top w:val="nil"/>
              <w:left w:val="nil"/>
              <w:bottom w:val="nil"/>
              <w:right w:val="nil"/>
            </w:tcBorders>
            <w:vAlign w:val="center"/>
            <w:hideMark/>
          </w:tcPr>
          <w:p w14:paraId="0F57C4EE"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Tagrtrade</w:t>
            </w:r>
            <w:proofErr w:type="spellEnd"/>
          </w:p>
        </w:tc>
        <w:tc>
          <w:tcPr>
            <w:tcW w:w="0" w:type="auto"/>
            <w:tcBorders>
              <w:top w:val="nil"/>
              <w:left w:val="nil"/>
              <w:bottom w:val="nil"/>
              <w:right w:val="nil"/>
            </w:tcBorders>
            <w:vAlign w:val="center"/>
            <w:hideMark/>
          </w:tcPr>
          <w:p w14:paraId="352A996E"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3E4CE8ED"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2790AF6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-0.50**</w:t>
            </w:r>
          </w:p>
        </w:tc>
        <w:tc>
          <w:tcPr>
            <w:tcW w:w="0" w:type="auto"/>
            <w:tcBorders>
              <w:top w:val="nil"/>
              <w:left w:val="nil"/>
              <w:bottom w:val="nil"/>
              <w:right w:val="nil"/>
            </w:tcBorders>
            <w:vAlign w:val="center"/>
            <w:hideMark/>
          </w:tcPr>
          <w:p w14:paraId="74A4E99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-0.167</w:t>
            </w:r>
          </w:p>
        </w:tc>
        <w:tc>
          <w:tcPr>
            <w:tcW w:w="0" w:type="auto"/>
            <w:tcBorders>
              <w:top w:val="nil"/>
              <w:left w:val="nil"/>
              <w:bottom w:val="nil"/>
              <w:right w:val="nil"/>
            </w:tcBorders>
            <w:vAlign w:val="center"/>
            <w:hideMark/>
          </w:tcPr>
          <w:p w14:paraId="75A1248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-0.222</w:t>
            </w:r>
          </w:p>
        </w:tc>
      </w:tr>
      <w:tr w:rsidR="00E850E2" w:rsidRPr="008A3160" w14:paraId="3D0CF158" w14:textId="77777777" w:rsidTr="00217E39">
        <w:trPr>
          <w:trHeight w:val="20"/>
        </w:trPr>
        <w:tc>
          <w:tcPr>
            <w:tcW w:w="0" w:type="auto"/>
            <w:tcBorders>
              <w:top w:val="nil"/>
              <w:left w:val="nil"/>
              <w:bottom w:val="nil"/>
              <w:right w:val="nil"/>
            </w:tcBorders>
            <w:vAlign w:val="center"/>
            <w:hideMark/>
          </w:tcPr>
          <w:p w14:paraId="195C381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01E00C2B"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0B3F8A3E"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1FA71DFB"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(0.193)</w:t>
            </w:r>
          </w:p>
        </w:tc>
        <w:tc>
          <w:tcPr>
            <w:tcW w:w="0" w:type="auto"/>
            <w:tcBorders>
              <w:top w:val="nil"/>
              <w:left w:val="nil"/>
              <w:bottom w:val="nil"/>
              <w:right w:val="nil"/>
            </w:tcBorders>
            <w:vAlign w:val="center"/>
            <w:hideMark/>
          </w:tcPr>
          <w:p w14:paraId="6935EC2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(0.150)</w:t>
            </w:r>
          </w:p>
        </w:tc>
        <w:tc>
          <w:tcPr>
            <w:tcW w:w="0" w:type="auto"/>
            <w:tcBorders>
              <w:top w:val="nil"/>
              <w:left w:val="nil"/>
              <w:bottom w:val="nil"/>
              <w:right w:val="nil"/>
            </w:tcBorders>
            <w:vAlign w:val="center"/>
            <w:hideMark/>
          </w:tcPr>
          <w:p w14:paraId="54B19E2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(0.150)</w:t>
            </w:r>
          </w:p>
        </w:tc>
      </w:tr>
      <w:tr w:rsidR="00E850E2" w:rsidRPr="008A3160" w14:paraId="5C19A123" w14:textId="77777777" w:rsidTr="00217E39">
        <w:trPr>
          <w:trHeight w:val="20"/>
        </w:trPr>
        <w:tc>
          <w:tcPr>
            <w:tcW w:w="0" w:type="auto"/>
            <w:tcBorders>
              <w:top w:val="nil"/>
              <w:left w:val="nil"/>
              <w:bottom w:val="nil"/>
              <w:right w:val="nil"/>
            </w:tcBorders>
            <w:vAlign w:val="center"/>
            <w:hideMark/>
          </w:tcPr>
          <w:p w14:paraId="34939922"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EPIscore</w:t>
            </w:r>
            <w:proofErr w:type="spellEnd"/>
          </w:p>
        </w:tc>
        <w:tc>
          <w:tcPr>
            <w:tcW w:w="0" w:type="auto"/>
            <w:tcBorders>
              <w:top w:val="nil"/>
              <w:left w:val="nil"/>
              <w:bottom w:val="nil"/>
              <w:right w:val="nil"/>
            </w:tcBorders>
            <w:vAlign w:val="center"/>
            <w:hideMark/>
          </w:tcPr>
          <w:p w14:paraId="1D6670DD"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
        </w:tc>
        <w:tc>
          <w:tcPr>
            <w:tcW w:w="0" w:type="auto"/>
            <w:tcBorders>
              <w:top w:val="nil"/>
              <w:left w:val="nil"/>
              <w:bottom w:val="nil"/>
              <w:right w:val="nil"/>
            </w:tcBorders>
            <w:vAlign w:val="center"/>
            <w:hideMark/>
          </w:tcPr>
          <w:p w14:paraId="7E049B02"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11BB9BE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0.594***</w:t>
            </w:r>
          </w:p>
        </w:tc>
        <w:tc>
          <w:tcPr>
            <w:tcW w:w="0" w:type="auto"/>
            <w:tcBorders>
              <w:top w:val="nil"/>
              <w:left w:val="nil"/>
              <w:bottom w:val="nil"/>
              <w:right w:val="nil"/>
            </w:tcBorders>
            <w:vAlign w:val="center"/>
            <w:hideMark/>
          </w:tcPr>
          <w:p w14:paraId="6559CB3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0.293***</w:t>
            </w:r>
          </w:p>
        </w:tc>
        <w:tc>
          <w:tcPr>
            <w:tcW w:w="0" w:type="auto"/>
            <w:tcBorders>
              <w:top w:val="nil"/>
              <w:left w:val="nil"/>
              <w:bottom w:val="nil"/>
              <w:right w:val="nil"/>
            </w:tcBorders>
            <w:vAlign w:val="center"/>
            <w:hideMark/>
          </w:tcPr>
          <w:p w14:paraId="40D5909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0.339***</w:t>
            </w:r>
          </w:p>
        </w:tc>
      </w:tr>
      <w:tr w:rsidR="00E850E2" w:rsidRPr="008A3160" w14:paraId="12C4F5EF" w14:textId="77777777" w:rsidTr="00217E39">
        <w:trPr>
          <w:trHeight w:val="20"/>
        </w:trPr>
        <w:tc>
          <w:tcPr>
            <w:tcW w:w="0" w:type="auto"/>
            <w:tcBorders>
              <w:top w:val="nil"/>
              <w:left w:val="nil"/>
              <w:bottom w:val="nil"/>
              <w:right w:val="nil"/>
            </w:tcBorders>
            <w:vAlign w:val="center"/>
            <w:hideMark/>
          </w:tcPr>
          <w:p w14:paraId="5E47AE34"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p>
        </w:tc>
        <w:tc>
          <w:tcPr>
            <w:tcW w:w="0" w:type="auto"/>
            <w:tcBorders>
              <w:top w:val="nil"/>
              <w:left w:val="nil"/>
              <w:bottom w:val="nil"/>
              <w:right w:val="nil"/>
            </w:tcBorders>
            <w:vAlign w:val="center"/>
            <w:hideMark/>
          </w:tcPr>
          <w:p w14:paraId="7EF2EFB5"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8E2E565" w14:textId="77777777" w:rsidR="00E850E2" w:rsidRPr="008A3160" w:rsidRDefault="00E850E2" w:rsidP="00217E39">
            <w:pPr>
              <w:rPr>
                <w:rFonts w:ascii="Times New Roman" w:eastAsia="Times New Roman" w:hAnsi="Times New Roman" w:cs="Times New Roman"/>
                <w:kern w:val="0"/>
                <w:lang w:val="it-IT" w:eastAsia="it-IT"/>
                <w14:ligatures w14:val="none"/>
              </w:rPr>
            </w:pPr>
          </w:p>
        </w:tc>
        <w:tc>
          <w:tcPr>
            <w:tcW w:w="0" w:type="auto"/>
            <w:tcBorders>
              <w:top w:val="nil"/>
              <w:left w:val="nil"/>
              <w:bottom w:val="nil"/>
              <w:right w:val="nil"/>
            </w:tcBorders>
            <w:vAlign w:val="center"/>
            <w:hideMark/>
          </w:tcPr>
          <w:p w14:paraId="43872A15"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(0.120)</w:t>
            </w:r>
          </w:p>
        </w:tc>
        <w:tc>
          <w:tcPr>
            <w:tcW w:w="0" w:type="auto"/>
            <w:tcBorders>
              <w:top w:val="nil"/>
              <w:left w:val="nil"/>
              <w:bottom w:val="nil"/>
              <w:right w:val="nil"/>
            </w:tcBorders>
            <w:vAlign w:val="center"/>
            <w:hideMark/>
          </w:tcPr>
          <w:p w14:paraId="3366520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(0.093)</w:t>
            </w:r>
          </w:p>
        </w:tc>
        <w:tc>
          <w:tcPr>
            <w:tcW w:w="0" w:type="auto"/>
            <w:tcBorders>
              <w:top w:val="nil"/>
              <w:left w:val="nil"/>
              <w:bottom w:val="nil"/>
              <w:right w:val="nil"/>
            </w:tcBorders>
            <w:vAlign w:val="center"/>
            <w:hideMark/>
          </w:tcPr>
          <w:p w14:paraId="7765ADAE"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(0.093)</w:t>
            </w:r>
          </w:p>
        </w:tc>
      </w:tr>
      <w:tr w:rsidR="00E850E2" w:rsidRPr="008A3160" w14:paraId="184589A3" w14:textId="77777777" w:rsidTr="00217E39">
        <w:trPr>
          <w:trHeight w:val="20"/>
        </w:trPr>
        <w:tc>
          <w:tcPr>
            <w:tcW w:w="0" w:type="auto"/>
            <w:tcBorders>
              <w:top w:val="nil"/>
              <w:left w:val="nil"/>
              <w:bottom w:val="nil"/>
              <w:right w:val="nil"/>
            </w:tcBorders>
            <w:vAlign w:val="center"/>
            <w:hideMark/>
          </w:tcPr>
          <w:p w14:paraId="291B7FC2"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 xml:space="preserve">Eu </w:t>
            </w:r>
            <w:proofErr w:type="spellStart"/>
            <w:r w:rsidRPr="008A3160">
              <w:rPr>
                <w:rFonts w:ascii="Times New Roman" w:eastAsia="Times New Roman" w:hAnsi="Times New Roman" w:cs="Times New Roman"/>
                <w:i/>
                <w:iCs/>
                <w:color w:val="000000"/>
                <w:kern w:val="0"/>
                <w:lang w:val="it-IT" w:eastAsia="it-IT"/>
                <w14:ligatures w14:val="none"/>
              </w:rPr>
              <w:t>member</w:t>
            </w:r>
            <w:proofErr w:type="spellEnd"/>
          </w:p>
        </w:tc>
        <w:tc>
          <w:tcPr>
            <w:tcW w:w="0" w:type="auto"/>
            <w:tcBorders>
              <w:top w:val="nil"/>
              <w:left w:val="nil"/>
              <w:bottom w:val="nil"/>
              <w:right w:val="nil"/>
            </w:tcBorders>
            <w:vAlign w:val="center"/>
            <w:hideMark/>
          </w:tcPr>
          <w:p w14:paraId="1F00F63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127.9***</w:t>
            </w:r>
          </w:p>
        </w:tc>
        <w:tc>
          <w:tcPr>
            <w:tcW w:w="0" w:type="auto"/>
            <w:tcBorders>
              <w:top w:val="nil"/>
              <w:left w:val="nil"/>
              <w:bottom w:val="nil"/>
              <w:right w:val="nil"/>
            </w:tcBorders>
            <w:vAlign w:val="center"/>
            <w:hideMark/>
          </w:tcPr>
          <w:p w14:paraId="02F2736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127.4***</w:t>
            </w:r>
          </w:p>
        </w:tc>
        <w:tc>
          <w:tcPr>
            <w:tcW w:w="0" w:type="auto"/>
            <w:tcBorders>
              <w:top w:val="nil"/>
              <w:left w:val="nil"/>
              <w:bottom w:val="nil"/>
              <w:right w:val="nil"/>
            </w:tcBorders>
            <w:vAlign w:val="center"/>
            <w:hideMark/>
          </w:tcPr>
          <w:p w14:paraId="2A42CF1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121.1***</w:t>
            </w:r>
          </w:p>
        </w:tc>
        <w:tc>
          <w:tcPr>
            <w:tcW w:w="0" w:type="auto"/>
            <w:tcBorders>
              <w:top w:val="nil"/>
              <w:left w:val="nil"/>
              <w:bottom w:val="nil"/>
              <w:right w:val="nil"/>
            </w:tcBorders>
            <w:vAlign w:val="center"/>
            <w:hideMark/>
          </w:tcPr>
          <w:p w14:paraId="600FDC4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58.96***</w:t>
            </w:r>
          </w:p>
        </w:tc>
        <w:tc>
          <w:tcPr>
            <w:tcW w:w="0" w:type="auto"/>
            <w:tcBorders>
              <w:top w:val="nil"/>
              <w:left w:val="nil"/>
              <w:bottom w:val="nil"/>
              <w:right w:val="nil"/>
            </w:tcBorders>
            <w:vAlign w:val="center"/>
            <w:hideMark/>
          </w:tcPr>
          <w:p w14:paraId="5B81A93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56.20***</w:t>
            </w:r>
          </w:p>
        </w:tc>
      </w:tr>
      <w:tr w:rsidR="00E850E2" w:rsidRPr="008A3160" w14:paraId="77A0BA7B" w14:textId="77777777" w:rsidTr="00217E39">
        <w:trPr>
          <w:trHeight w:val="20"/>
        </w:trPr>
        <w:tc>
          <w:tcPr>
            <w:tcW w:w="0" w:type="auto"/>
            <w:tcBorders>
              <w:top w:val="nil"/>
              <w:left w:val="nil"/>
              <w:bottom w:val="single" w:sz="8" w:space="0" w:color="auto"/>
              <w:right w:val="nil"/>
            </w:tcBorders>
            <w:noWrap/>
            <w:vAlign w:val="bottom"/>
            <w:hideMark/>
          </w:tcPr>
          <w:p w14:paraId="3EBDDFD9" w14:textId="77777777" w:rsidR="00E850E2" w:rsidRPr="008A3160" w:rsidRDefault="00E850E2" w:rsidP="00217E39">
            <w:pPr>
              <w:rPr>
                <w:rFonts w:ascii="Calibri" w:eastAsia="Times New Roman" w:hAnsi="Calibri" w:cs="Calibri"/>
                <w:color w:val="000000"/>
                <w:kern w:val="0"/>
                <w:lang w:val="it-IT" w:eastAsia="it-IT"/>
                <w14:ligatures w14:val="none"/>
              </w:rPr>
            </w:pPr>
            <w:r w:rsidRPr="008A3160">
              <w:rPr>
                <w:rFonts w:ascii="Calibri" w:eastAsia="Times New Roman" w:hAnsi="Calibri" w:cs="Calibri"/>
                <w:color w:val="000000"/>
                <w:kern w:val="0"/>
                <w:lang w:val="it-IT" w:eastAsia="it-IT"/>
                <w14:ligatures w14:val="none"/>
              </w:rPr>
              <w:t> </w:t>
            </w:r>
          </w:p>
        </w:tc>
        <w:tc>
          <w:tcPr>
            <w:tcW w:w="0" w:type="auto"/>
            <w:tcBorders>
              <w:top w:val="nil"/>
              <w:left w:val="nil"/>
              <w:bottom w:val="single" w:sz="8" w:space="0" w:color="auto"/>
              <w:right w:val="nil"/>
            </w:tcBorders>
            <w:noWrap/>
            <w:vAlign w:val="bottom"/>
            <w:hideMark/>
          </w:tcPr>
          <w:p w14:paraId="15415310" w14:textId="77777777" w:rsidR="00E850E2" w:rsidRPr="008A3160" w:rsidRDefault="00E850E2" w:rsidP="00217E39">
            <w:pPr>
              <w:rPr>
                <w:rFonts w:ascii="Calibri" w:eastAsia="Times New Roman" w:hAnsi="Calibri" w:cs="Calibri"/>
                <w:color w:val="000000"/>
                <w:kern w:val="0"/>
                <w:lang w:val="it-IT" w:eastAsia="it-IT"/>
                <w14:ligatures w14:val="none"/>
              </w:rPr>
            </w:pPr>
            <w:r w:rsidRPr="008A3160">
              <w:rPr>
                <w:rFonts w:ascii="Calibri" w:eastAsia="Times New Roman" w:hAnsi="Calibri" w:cs="Calibri"/>
                <w:color w:val="000000"/>
                <w:kern w:val="0"/>
                <w:lang w:val="it-IT" w:eastAsia="it-IT"/>
                <w14:ligatures w14:val="none"/>
              </w:rPr>
              <w:t>(4.374)</w:t>
            </w:r>
          </w:p>
        </w:tc>
        <w:tc>
          <w:tcPr>
            <w:tcW w:w="0" w:type="auto"/>
            <w:tcBorders>
              <w:top w:val="nil"/>
              <w:left w:val="nil"/>
              <w:bottom w:val="single" w:sz="8" w:space="0" w:color="auto"/>
              <w:right w:val="nil"/>
            </w:tcBorders>
            <w:noWrap/>
            <w:vAlign w:val="bottom"/>
            <w:hideMark/>
          </w:tcPr>
          <w:p w14:paraId="061C4E61" w14:textId="77777777" w:rsidR="00E850E2" w:rsidRPr="008A3160" w:rsidRDefault="00E850E2" w:rsidP="00217E39">
            <w:pPr>
              <w:rPr>
                <w:rFonts w:ascii="Calibri" w:eastAsia="Times New Roman" w:hAnsi="Calibri" w:cs="Calibri"/>
                <w:color w:val="000000"/>
                <w:kern w:val="0"/>
                <w:lang w:val="it-IT" w:eastAsia="it-IT"/>
                <w14:ligatures w14:val="none"/>
              </w:rPr>
            </w:pPr>
            <w:r w:rsidRPr="008A3160">
              <w:rPr>
                <w:rFonts w:ascii="Calibri" w:eastAsia="Times New Roman" w:hAnsi="Calibri" w:cs="Calibri"/>
                <w:color w:val="000000"/>
                <w:kern w:val="0"/>
                <w:lang w:val="it-IT" w:eastAsia="it-IT"/>
                <w14:ligatures w14:val="none"/>
              </w:rPr>
              <w:t> </w:t>
            </w:r>
          </w:p>
        </w:tc>
        <w:tc>
          <w:tcPr>
            <w:tcW w:w="0" w:type="auto"/>
            <w:tcBorders>
              <w:top w:val="nil"/>
              <w:left w:val="nil"/>
              <w:bottom w:val="single" w:sz="8" w:space="0" w:color="auto"/>
              <w:right w:val="nil"/>
            </w:tcBorders>
            <w:noWrap/>
            <w:vAlign w:val="bottom"/>
            <w:hideMark/>
          </w:tcPr>
          <w:p w14:paraId="06F7903F" w14:textId="77777777" w:rsidR="00E850E2" w:rsidRPr="008A3160" w:rsidRDefault="00E850E2" w:rsidP="00217E39">
            <w:pPr>
              <w:rPr>
                <w:rFonts w:ascii="Calibri" w:eastAsia="Times New Roman" w:hAnsi="Calibri" w:cs="Calibri"/>
                <w:color w:val="000000"/>
                <w:kern w:val="0"/>
                <w:lang w:val="it-IT" w:eastAsia="it-IT"/>
                <w14:ligatures w14:val="none"/>
              </w:rPr>
            </w:pPr>
            <w:r w:rsidRPr="008A3160">
              <w:rPr>
                <w:rFonts w:ascii="Calibri" w:eastAsia="Times New Roman" w:hAnsi="Calibri" w:cs="Calibri"/>
                <w:color w:val="000000"/>
                <w:kern w:val="0"/>
                <w:lang w:val="it-IT" w:eastAsia="it-IT"/>
                <w14:ligatures w14:val="none"/>
              </w:rPr>
              <w:t>(4.525)</w:t>
            </w:r>
          </w:p>
        </w:tc>
        <w:tc>
          <w:tcPr>
            <w:tcW w:w="0" w:type="auto"/>
            <w:tcBorders>
              <w:top w:val="nil"/>
              <w:left w:val="nil"/>
              <w:bottom w:val="single" w:sz="8" w:space="0" w:color="auto"/>
              <w:right w:val="nil"/>
            </w:tcBorders>
            <w:noWrap/>
            <w:vAlign w:val="bottom"/>
            <w:hideMark/>
          </w:tcPr>
          <w:p w14:paraId="62656C6B" w14:textId="77777777" w:rsidR="00E850E2" w:rsidRPr="008A3160" w:rsidRDefault="00E850E2" w:rsidP="00217E39">
            <w:pPr>
              <w:rPr>
                <w:rFonts w:ascii="Calibri" w:eastAsia="Times New Roman" w:hAnsi="Calibri" w:cs="Calibri"/>
                <w:color w:val="000000"/>
                <w:kern w:val="0"/>
                <w:lang w:val="it-IT" w:eastAsia="it-IT"/>
                <w14:ligatures w14:val="none"/>
              </w:rPr>
            </w:pPr>
            <w:r w:rsidRPr="008A3160">
              <w:rPr>
                <w:rFonts w:ascii="Calibri" w:eastAsia="Times New Roman" w:hAnsi="Calibri" w:cs="Calibri"/>
                <w:color w:val="000000"/>
                <w:kern w:val="0"/>
                <w:lang w:val="it-IT" w:eastAsia="it-IT"/>
                <w14:ligatures w14:val="none"/>
              </w:rPr>
              <w:t>(3.801)</w:t>
            </w:r>
          </w:p>
        </w:tc>
        <w:tc>
          <w:tcPr>
            <w:tcW w:w="0" w:type="auto"/>
            <w:tcBorders>
              <w:top w:val="nil"/>
              <w:left w:val="nil"/>
              <w:bottom w:val="single" w:sz="8" w:space="0" w:color="auto"/>
              <w:right w:val="nil"/>
            </w:tcBorders>
            <w:noWrap/>
            <w:vAlign w:val="bottom"/>
            <w:hideMark/>
          </w:tcPr>
          <w:p w14:paraId="67FD332A" w14:textId="77777777" w:rsidR="00E850E2" w:rsidRPr="008A3160" w:rsidRDefault="00E850E2" w:rsidP="00217E39">
            <w:pPr>
              <w:rPr>
                <w:rFonts w:ascii="Calibri" w:eastAsia="Times New Roman" w:hAnsi="Calibri" w:cs="Calibri"/>
                <w:color w:val="000000"/>
                <w:kern w:val="0"/>
                <w:lang w:val="it-IT" w:eastAsia="it-IT"/>
                <w14:ligatures w14:val="none"/>
              </w:rPr>
            </w:pPr>
            <w:r w:rsidRPr="008A3160">
              <w:rPr>
                <w:rFonts w:ascii="Calibri" w:eastAsia="Times New Roman" w:hAnsi="Calibri" w:cs="Calibri"/>
                <w:color w:val="000000"/>
                <w:kern w:val="0"/>
                <w:lang w:val="it-IT" w:eastAsia="it-IT"/>
                <w14:ligatures w14:val="none"/>
              </w:rPr>
              <w:t>(4.006)</w:t>
            </w:r>
          </w:p>
        </w:tc>
      </w:tr>
      <w:tr w:rsidR="00E850E2" w:rsidRPr="008A3160" w14:paraId="2268DB44" w14:textId="77777777" w:rsidTr="00217E39">
        <w:trPr>
          <w:trHeight w:val="20"/>
        </w:trPr>
        <w:tc>
          <w:tcPr>
            <w:tcW w:w="0" w:type="auto"/>
            <w:tcBorders>
              <w:top w:val="nil"/>
              <w:left w:val="nil"/>
              <w:bottom w:val="single" w:sz="12" w:space="0" w:color="auto"/>
              <w:right w:val="nil"/>
            </w:tcBorders>
            <w:vAlign w:val="center"/>
            <w:hideMark/>
          </w:tcPr>
          <w:p w14:paraId="6C1EF3EC"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Pesaran</w:t>
            </w:r>
            <w:proofErr w:type="spellEnd"/>
            <w:r w:rsidRPr="008A3160">
              <w:rPr>
                <w:rFonts w:ascii="Times New Roman" w:eastAsia="Times New Roman" w:hAnsi="Times New Roman" w:cs="Times New Roman"/>
                <w:i/>
                <w:iCs/>
                <w:color w:val="000000"/>
                <w:kern w:val="0"/>
                <w:lang w:val="it-IT" w:eastAsia="it-IT"/>
                <w14:ligatures w14:val="none"/>
              </w:rPr>
              <w:t xml:space="preserve"> CD test</w:t>
            </w:r>
          </w:p>
        </w:tc>
        <w:tc>
          <w:tcPr>
            <w:tcW w:w="0" w:type="auto"/>
            <w:tcBorders>
              <w:top w:val="nil"/>
              <w:left w:val="nil"/>
              <w:bottom w:val="single" w:sz="12" w:space="0" w:color="auto"/>
              <w:right w:val="nil"/>
            </w:tcBorders>
            <w:vAlign w:val="center"/>
            <w:hideMark/>
          </w:tcPr>
          <w:p w14:paraId="7A808C8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-0.858</w:t>
            </w:r>
          </w:p>
        </w:tc>
        <w:tc>
          <w:tcPr>
            <w:tcW w:w="0" w:type="auto"/>
            <w:tcBorders>
              <w:top w:val="nil"/>
              <w:left w:val="nil"/>
              <w:bottom w:val="single" w:sz="12" w:space="0" w:color="auto"/>
              <w:right w:val="nil"/>
            </w:tcBorders>
            <w:vAlign w:val="center"/>
            <w:hideMark/>
          </w:tcPr>
          <w:p w14:paraId="309B471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-0.879</w:t>
            </w:r>
          </w:p>
        </w:tc>
        <w:tc>
          <w:tcPr>
            <w:tcW w:w="0" w:type="auto"/>
            <w:tcBorders>
              <w:top w:val="nil"/>
              <w:left w:val="nil"/>
              <w:bottom w:val="single" w:sz="12" w:space="0" w:color="auto"/>
              <w:right w:val="nil"/>
            </w:tcBorders>
            <w:vAlign w:val="center"/>
            <w:hideMark/>
          </w:tcPr>
          <w:p w14:paraId="500344E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-0.21</w:t>
            </w:r>
          </w:p>
        </w:tc>
        <w:tc>
          <w:tcPr>
            <w:tcW w:w="0" w:type="auto"/>
            <w:tcBorders>
              <w:top w:val="nil"/>
              <w:left w:val="nil"/>
              <w:bottom w:val="single" w:sz="12" w:space="0" w:color="auto"/>
              <w:right w:val="nil"/>
            </w:tcBorders>
            <w:shd w:val="clear" w:color="000000" w:fill="FFFFFF"/>
            <w:vAlign w:val="center"/>
            <w:hideMark/>
          </w:tcPr>
          <w:p w14:paraId="28771BF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0.472</w:t>
            </w:r>
          </w:p>
        </w:tc>
        <w:tc>
          <w:tcPr>
            <w:tcW w:w="0" w:type="auto"/>
            <w:tcBorders>
              <w:top w:val="nil"/>
              <w:left w:val="nil"/>
              <w:bottom w:val="single" w:sz="12" w:space="0" w:color="auto"/>
              <w:right w:val="nil"/>
            </w:tcBorders>
            <w:vAlign w:val="center"/>
            <w:hideMark/>
          </w:tcPr>
          <w:p w14:paraId="7C77FE6F"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0.391</w:t>
            </w:r>
          </w:p>
        </w:tc>
      </w:tr>
      <w:tr w:rsidR="00E850E2" w:rsidRPr="008A3160" w14:paraId="08F65A18" w14:textId="77777777" w:rsidTr="00217E39">
        <w:trPr>
          <w:trHeight w:val="20"/>
        </w:trPr>
        <w:tc>
          <w:tcPr>
            <w:tcW w:w="0" w:type="auto"/>
            <w:tcBorders>
              <w:top w:val="nil"/>
              <w:left w:val="nil"/>
              <w:bottom w:val="single" w:sz="12" w:space="0" w:color="auto"/>
              <w:right w:val="nil"/>
            </w:tcBorders>
            <w:vAlign w:val="center"/>
            <w:hideMark/>
          </w:tcPr>
          <w:p w14:paraId="2BB08B9B"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 xml:space="preserve">LM test </w:t>
            </w:r>
          </w:p>
        </w:tc>
        <w:tc>
          <w:tcPr>
            <w:tcW w:w="0" w:type="auto"/>
            <w:tcBorders>
              <w:top w:val="nil"/>
              <w:left w:val="nil"/>
              <w:bottom w:val="single" w:sz="12" w:space="0" w:color="auto"/>
              <w:right w:val="nil"/>
            </w:tcBorders>
            <w:vAlign w:val="center"/>
            <w:hideMark/>
          </w:tcPr>
          <w:p w14:paraId="2EE8933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0.353</w:t>
            </w:r>
          </w:p>
        </w:tc>
        <w:tc>
          <w:tcPr>
            <w:tcW w:w="0" w:type="auto"/>
            <w:tcBorders>
              <w:top w:val="nil"/>
              <w:left w:val="nil"/>
              <w:bottom w:val="single" w:sz="12" w:space="0" w:color="auto"/>
              <w:right w:val="nil"/>
            </w:tcBorders>
            <w:vAlign w:val="center"/>
            <w:hideMark/>
          </w:tcPr>
          <w:p w14:paraId="2B64CA5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0.516</w:t>
            </w:r>
          </w:p>
        </w:tc>
        <w:tc>
          <w:tcPr>
            <w:tcW w:w="0" w:type="auto"/>
            <w:tcBorders>
              <w:top w:val="nil"/>
              <w:left w:val="nil"/>
              <w:bottom w:val="single" w:sz="12" w:space="0" w:color="auto"/>
              <w:right w:val="nil"/>
            </w:tcBorders>
            <w:vAlign w:val="center"/>
            <w:hideMark/>
          </w:tcPr>
          <w:p w14:paraId="54B38D99"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3.314</w:t>
            </w:r>
          </w:p>
        </w:tc>
        <w:tc>
          <w:tcPr>
            <w:tcW w:w="0" w:type="auto"/>
            <w:tcBorders>
              <w:top w:val="nil"/>
              <w:left w:val="nil"/>
              <w:bottom w:val="single" w:sz="12" w:space="0" w:color="auto"/>
              <w:right w:val="nil"/>
            </w:tcBorders>
            <w:shd w:val="clear" w:color="000000" w:fill="FFFFFF"/>
            <w:vAlign w:val="center"/>
            <w:hideMark/>
          </w:tcPr>
          <w:p w14:paraId="074C1B8D"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0.274</w:t>
            </w:r>
          </w:p>
        </w:tc>
        <w:tc>
          <w:tcPr>
            <w:tcW w:w="0" w:type="auto"/>
            <w:tcBorders>
              <w:top w:val="nil"/>
              <w:left w:val="nil"/>
              <w:bottom w:val="single" w:sz="12" w:space="0" w:color="auto"/>
              <w:right w:val="nil"/>
            </w:tcBorders>
            <w:vAlign w:val="center"/>
            <w:hideMark/>
          </w:tcPr>
          <w:p w14:paraId="0DC99218"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0.254</w:t>
            </w:r>
          </w:p>
        </w:tc>
      </w:tr>
      <w:tr w:rsidR="00E850E2" w:rsidRPr="008A3160" w14:paraId="7EDAF527" w14:textId="77777777" w:rsidTr="00217E39">
        <w:trPr>
          <w:trHeight w:val="20"/>
        </w:trPr>
        <w:tc>
          <w:tcPr>
            <w:tcW w:w="0" w:type="auto"/>
            <w:tcBorders>
              <w:top w:val="nil"/>
              <w:left w:val="nil"/>
              <w:bottom w:val="single" w:sz="12" w:space="0" w:color="auto"/>
              <w:right w:val="nil"/>
            </w:tcBorders>
            <w:vAlign w:val="center"/>
            <w:hideMark/>
          </w:tcPr>
          <w:p w14:paraId="6DEB071C"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r w:rsidRPr="008A3160">
              <w:rPr>
                <w:rFonts w:ascii="Times New Roman" w:eastAsia="Times New Roman" w:hAnsi="Times New Roman" w:cs="Times New Roman"/>
                <w:i/>
                <w:iCs/>
                <w:color w:val="000000"/>
                <w:kern w:val="0"/>
                <w:lang w:val="it-IT" w:eastAsia="it-IT"/>
                <w14:ligatures w14:val="none"/>
              </w:rPr>
              <w:t>N</w:t>
            </w:r>
          </w:p>
        </w:tc>
        <w:tc>
          <w:tcPr>
            <w:tcW w:w="0" w:type="auto"/>
            <w:tcBorders>
              <w:top w:val="nil"/>
              <w:left w:val="nil"/>
              <w:bottom w:val="single" w:sz="12" w:space="0" w:color="auto"/>
              <w:right w:val="nil"/>
            </w:tcBorders>
            <w:vAlign w:val="center"/>
            <w:hideMark/>
          </w:tcPr>
          <w:p w14:paraId="6C7CA67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c>
          <w:tcPr>
            <w:tcW w:w="0" w:type="auto"/>
            <w:tcBorders>
              <w:top w:val="nil"/>
              <w:left w:val="nil"/>
              <w:bottom w:val="single" w:sz="12" w:space="0" w:color="auto"/>
              <w:right w:val="nil"/>
            </w:tcBorders>
            <w:vAlign w:val="center"/>
            <w:hideMark/>
          </w:tcPr>
          <w:p w14:paraId="050A453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c>
          <w:tcPr>
            <w:tcW w:w="0" w:type="auto"/>
            <w:tcBorders>
              <w:top w:val="nil"/>
              <w:left w:val="nil"/>
              <w:bottom w:val="single" w:sz="12" w:space="0" w:color="auto"/>
              <w:right w:val="nil"/>
            </w:tcBorders>
            <w:vAlign w:val="center"/>
            <w:hideMark/>
          </w:tcPr>
          <w:p w14:paraId="760D6AA6"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c>
          <w:tcPr>
            <w:tcW w:w="0" w:type="auto"/>
            <w:tcBorders>
              <w:top w:val="nil"/>
              <w:left w:val="nil"/>
              <w:bottom w:val="single" w:sz="12" w:space="0" w:color="auto"/>
              <w:right w:val="nil"/>
            </w:tcBorders>
            <w:shd w:val="clear" w:color="000000" w:fill="FFFFFF"/>
            <w:vAlign w:val="center"/>
            <w:hideMark/>
          </w:tcPr>
          <w:p w14:paraId="7BC15A30"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c>
          <w:tcPr>
            <w:tcW w:w="0" w:type="auto"/>
            <w:tcBorders>
              <w:top w:val="nil"/>
              <w:left w:val="nil"/>
              <w:bottom w:val="single" w:sz="12" w:space="0" w:color="auto"/>
              <w:right w:val="nil"/>
            </w:tcBorders>
            <w:vAlign w:val="center"/>
            <w:hideMark/>
          </w:tcPr>
          <w:p w14:paraId="43ADD541"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3,124</w:t>
            </w:r>
          </w:p>
        </w:tc>
      </w:tr>
      <w:tr w:rsidR="00E850E2" w:rsidRPr="008A3160" w14:paraId="3BE0A261" w14:textId="77777777" w:rsidTr="00217E39">
        <w:trPr>
          <w:trHeight w:val="20"/>
        </w:trPr>
        <w:tc>
          <w:tcPr>
            <w:tcW w:w="0" w:type="auto"/>
            <w:tcBorders>
              <w:top w:val="nil"/>
              <w:left w:val="nil"/>
              <w:bottom w:val="single" w:sz="8" w:space="0" w:color="auto"/>
              <w:right w:val="nil"/>
            </w:tcBorders>
            <w:vAlign w:val="center"/>
            <w:hideMark/>
          </w:tcPr>
          <w:p w14:paraId="30FBD181" w14:textId="77777777" w:rsidR="00E850E2" w:rsidRPr="008A3160" w:rsidRDefault="00E850E2" w:rsidP="00217E39">
            <w:pPr>
              <w:rPr>
                <w:rFonts w:ascii="Times New Roman" w:eastAsia="Times New Roman" w:hAnsi="Times New Roman" w:cs="Times New Roman"/>
                <w:i/>
                <w:iCs/>
                <w:color w:val="000000"/>
                <w:kern w:val="0"/>
                <w:lang w:val="it-IT" w:eastAsia="it-IT"/>
                <w14:ligatures w14:val="none"/>
              </w:rPr>
            </w:pPr>
            <w:proofErr w:type="spellStart"/>
            <w:r w:rsidRPr="008A3160">
              <w:rPr>
                <w:rFonts w:ascii="Times New Roman" w:eastAsia="Times New Roman" w:hAnsi="Times New Roman" w:cs="Times New Roman"/>
                <w:i/>
                <w:iCs/>
                <w:color w:val="000000"/>
                <w:kern w:val="0"/>
                <w:lang w:val="it-IT" w:eastAsia="it-IT"/>
                <w14:ligatures w14:val="none"/>
              </w:rPr>
              <w:t>Instrumental</w:t>
            </w:r>
            <w:proofErr w:type="spellEnd"/>
            <w:r w:rsidRPr="008A3160">
              <w:rPr>
                <w:rFonts w:ascii="Times New Roman" w:eastAsia="Times New Roman" w:hAnsi="Times New Roman" w:cs="Times New Roman"/>
                <w:i/>
                <w:iCs/>
                <w:color w:val="000000"/>
                <w:kern w:val="0"/>
                <w:lang w:val="it-IT" w:eastAsia="it-IT"/>
                <w14:ligatures w14:val="none"/>
              </w:rPr>
              <w:t xml:space="preserve"> lags</w:t>
            </w:r>
          </w:p>
        </w:tc>
        <w:tc>
          <w:tcPr>
            <w:tcW w:w="0" w:type="auto"/>
            <w:tcBorders>
              <w:top w:val="nil"/>
              <w:left w:val="nil"/>
              <w:bottom w:val="single" w:sz="8" w:space="0" w:color="auto"/>
              <w:right w:val="nil"/>
            </w:tcBorders>
            <w:vAlign w:val="center"/>
            <w:hideMark/>
          </w:tcPr>
          <w:p w14:paraId="47A110C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8" w:space="0" w:color="auto"/>
              <w:right w:val="nil"/>
            </w:tcBorders>
            <w:vAlign w:val="center"/>
            <w:hideMark/>
          </w:tcPr>
          <w:p w14:paraId="090CECF3"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8" w:space="0" w:color="auto"/>
              <w:right w:val="nil"/>
            </w:tcBorders>
            <w:vAlign w:val="center"/>
            <w:hideMark/>
          </w:tcPr>
          <w:p w14:paraId="4FEACD2A"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8" w:space="0" w:color="auto"/>
              <w:right w:val="nil"/>
            </w:tcBorders>
            <w:shd w:val="clear" w:color="000000" w:fill="FFFFFF"/>
            <w:vAlign w:val="center"/>
            <w:hideMark/>
          </w:tcPr>
          <w:p w14:paraId="7DCDA882"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c>
          <w:tcPr>
            <w:tcW w:w="0" w:type="auto"/>
            <w:tcBorders>
              <w:top w:val="nil"/>
              <w:left w:val="nil"/>
              <w:bottom w:val="single" w:sz="8" w:space="0" w:color="auto"/>
              <w:right w:val="nil"/>
            </w:tcBorders>
            <w:vAlign w:val="center"/>
            <w:hideMark/>
          </w:tcPr>
          <w:p w14:paraId="55C684C7" w14:textId="77777777" w:rsidR="00E850E2" w:rsidRPr="008A3160" w:rsidRDefault="00E850E2" w:rsidP="00217E39">
            <w:pPr>
              <w:rPr>
                <w:rFonts w:ascii="Times New Roman" w:eastAsia="Times New Roman" w:hAnsi="Times New Roman" w:cs="Times New Roman"/>
                <w:color w:val="000000"/>
                <w:kern w:val="0"/>
                <w:lang w:val="it-IT" w:eastAsia="it-IT"/>
                <w14:ligatures w14:val="none"/>
              </w:rPr>
            </w:pPr>
            <w:r w:rsidRPr="008A3160">
              <w:rPr>
                <w:rFonts w:ascii="Times New Roman" w:eastAsia="Times New Roman" w:hAnsi="Times New Roman" w:cs="Times New Roman"/>
                <w:color w:val="000000"/>
                <w:kern w:val="0"/>
                <w:lang w:val="it-IT" w:eastAsia="it-IT"/>
                <w14:ligatures w14:val="none"/>
              </w:rPr>
              <w:t>1</w:t>
            </w:r>
          </w:p>
        </w:tc>
      </w:tr>
    </w:tbl>
    <w:p w14:paraId="33C24625" w14:textId="77777777" w:rsidR="00E850E2" w:rsidRPr="00F325F3" w:rsidRDefault="00E850E2" w:rsidP="00E850E2">
      <w:pPr>
        <w:autoSpaceDE w:val="0"/>
        <w:autoSpaceDN w:val="0"/>
        <w:adjustRightInd w:val="0"/>
        <w:jc w:val="both"/>
        <w:rPr>
          <w:rFonts w:ascii="Times New Roman" w:hAnsi="Times New Roman" w:cs="Times New Roman"/>
          <w:kern w:val="0"/>
          <w:sz w:val="22"/>
          <w:szCs w:val="22"/>
          <w:lang w:val="en-GB"/>
        </w:rPr>
      </w:pPr>
      <w:r>
        <w:rPr>
          <w:rFonts w:ascii="Times New Roman" w:hAnsi="Times New Roman" w:cs="Times New Roman"/>
          <w:i/>
          <w:iCs/>
          <w:color w:val="000000"/>
          <w:kern w:val="0"/>
          <w:sz w:val="20"/>
          <w:szCs w:val="20"/>
          <w:lang w:val="it-IT"/>
          <w14:ligatures w14:val="none"/>
        </w:rPr>
        <w:t xml:space="preserve">Notes: </w:t>
      </w:r>
      <w:proofErr w:type="spellStart"/>
      <w:r w:rsidRPr="00891442">
        <w:rPr>
          <w:rFonts w:ascii="Times New Roman" w:hAnsi="Times New Roman" w:cs="Times New Roman"/>
          <w:i/>
          <w:iCs/>
          <w:color w:val="000000"/>
          <w:kern w:val="0"/>
          <w:sz w:val="20"/>
          <w:szCs w:val="20"/>
          <w:lang w:val="it-IT"/>
          <w14:ligatures w14:val="none"/>
        </w:rPr>
        <w:t>Dependent</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variable</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envTBT</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Variable</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definitions</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as</w:t>
      </w:r>
      <w:proofErr w:type="spellEnd"/>
      <w:r w:rsidRPr="00891442">
        <w:rPr>
          <w:rFonts w:ascii="Times New Roman" w:hAnsi="Times New Roman" w:cs="Times New Roman"/>
          <w:i/>
          <w:iCs/>
          <w:color w:val="000000"/>
          <w:kern w:val="0"/>
          <w:sz w:val="20"/>
          <w:szCs w:val="20"/>
          <w:lang w:val="it-IT"/>
          <w14:ligatures w14:val="none"/>
        </w:rPr>
        <w:t xml:space="preserve"> in </w:t>
      </w:r>
      <w:proofErr w:type="spellStart"/>
      <w:r w:rsidRPr="00891442">
        <w:rPr>
          <w:rFonts w:ascii="Times New Roman" w:hAnsi="Times New Roman" w:cs="Times New Roman"/>
          <w:i/>
          <w:iCs/>
          <w:color w:val="000000"/>
          <w:kern w:val="0"/>
          <w:sz w:val="20"/>
          <w:szCs w:val="20"/>
          <w:lang w:val="it-IT"/>
          <w14:ligatures w14:val="none"/>
        </w:rPr>
        <w:t>Table</w:t>
      </w:r>
      <w:proofErr w:type="spellEnd"/>
      <w:r w:rsidRPr="00891442">
        <w:rPr>
          <w:rFonts w:ascii="Times New Roman" w:hAnsi="Times New Roman" w:cs="Times New Roman"/>
          <w:i/>
          <w:iCs/>
          <w:color w:val="000000"/>
          <w:kern w:val="0"/>
          <w:sz w:val="20"/>
          <w:szCs w:val="20"/>
          <w:lang w:val="it-IT"/>
          <w14:ligatures w14:val="none"/>
        </w:rPr>
        <w:t xml:space="preserve"> 1. EU </w:t>
      </w:r>
      <w:proofErr w:type="spellStart"/>
      <w:r w:rsidRPr="00891442">
        <w:rPr>
          <w:rFonts w:ascii="Times New Roman" w:hAnsi="Times New Roman" w:cs="Times New Roman"/>
          <w:i/>
          <w:iCs/>
          <w:color w:val="000000"/>
          <w:kern w:val="0"/>
          <w:sz w:val="20"/>
          <w:szCs w:val="20"/>
          <w:lang w:val="it-IT"/>
          <w14:ligatures w14:val="none"/>
        </w:rPr>
        <w:t>Member</w:t>
      </w:r>
      <w:proofErr w:type="spellEnd"/>
      <w:r w:rsidRPr="00891442">
        <w:rPr>
          <w:rFonts w:ascii="Times New Roman" w:hAnsi="Times New Roman" w:cs="Times New Roman"/>
          <w:i/>
          <w:iCs/>
          <w:color w:val="000000"/>
          <w:kern w:val="0"/>
          <w:sz w:val="20"/>
          <w:szCs w:val="20"/>
          <w:lang w:val="it-IT"/>
          <w14:ligatures w14:val="none"/>
        </w:rPr>
        <w:t xml:space="preserve">: dummy </w:t>
      </w:r>
      <w:proofErr w:type="spellStart"/>
      <w:r w:rsidRPr="00891442">
        <w:rPr>
          <w:rFonts w:ascii="Times New Roman" w:hAnsi="Times New Roman" w:cs="Times New Roman"/>
          <w:i/>
          <w:iCs/>
          <w:color w:val="000000"/>
          <w:kern w:val="0"/>
          <w:sz w:val="20"/>
          <w:szCs w:val="20"/>
          <w:lang w:val="it-IT"/>
          <w14:ligatures w14:val="none"/>
        </w:rPr>
        <w:t>variable</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equal</w:t>
      </w:r>
      <w:proofErr w:type="spellEnd"/>
      <w:r w:rsidRPr="00891442">
        <w:rPr>
          <w:rFonts w:ascii="Times New Roman" w:hAnsi="Times New Roman" w:cs="Times New Roman"/>
          <w:i/>
          <w:iCs/>
          <w:color w:val="000000"/>
          <w:kern w:val="0"/>
          <w:sz w:val="20"/>
          <w:szCs w:val="20"/>
          <w:lang w:val="it-IT"/>
          <w14:ligatures w14:val="none"/>
        </w:rPr>
        <w:t xml:space="preserve"> to one </w:t>
      </w:r>
      <w:proofErr w:type="spellStart"/>
      <w:r w:rsidRPr="00891442">
        <w:rPr>
          <w:rFonts w:ascii="Times New Roman" w:hAnsi="Times New Roman" w:cs="Times New Roman"/>
          <w:i/>
          <w:iCs/>
          <w:color w:val="000000"/>
          <w:kern w:val="0"/>
          <w:sz w:val="20"/>
          <w:szCs w:val="20"/>
          <w:lang w:val="it-IT"/>
          <w14:ligatures w14:val="none"/>
        </w:rPr>
        <w:t>if</w:t>
      </w:r>
      <w:proofErr w:type="spellEnd"/>
      <w:r w:rsidRPr="00891442">
        <w:rPr>
          <w:rFonts w:ascii="Times New Roman" w:hAnsi="Times New Roman" w:cs="Times New Roman"/>
          <w:i/>
          <w:iCs/>
          <w:color w:val="000000"/>
          <w:kern w:val="0"/>
          <w:sz w:val="20"/>
          <w:szCs w:val="20"/>
          <w:lang w:val="it-IT"/>
          <w14:ligatures w14:val="none"/>
        </w:rPr>
        <w:t xml:space="preserve"> country i </w:t>
      </w:r>
      <w:proofErr w:type="spellStart"/>
      <w:r w:rsidRPr="00891442">
        <w:rPr>
          <w:rFonts w:ascii="Times New Roman" w:hAnsi="Times New Roman" w:cs="Times New Roman"/>
          <w:i/>
          <w:iCs/>
          <w:color w:val="000000"/>
          <w:kern w:val="0"/>
          <w:sz w:val="20"/>
          <w:szCs w:val="20"/>
          <w:lang w:val="it-IT"/>
          <w14:ligatures w14:val="none"/>
        </w:rPr>
        <w:t>is</w:t>
      </w:r>
      <w:proofErr w:type="spellEnd"/>
      <w:r w:rsidRPr="00891442">
        <w:rPr>
          <w:rFonts w:ascii="Times New Roman" w:hAnsi="Times New Roman" w:cs="Times New Roman"/>
          <w:i/>
          <w:iCs/>
          <w:color w:val="000000"/>
          <w:kern w:val="0"/>
          <w:sz w:val="20"/>
          <w:szCs w:val="20"/>
          <w:lang w:val="it-IT"/>
          <w14:ligatures w14:val="none"/>
        </w:rPr>
        <w:t xml:space="preserve"> a </w:t>
      </w:r>
      <w:proofErr w:type="spellStart"/>
      <w:r w:rsidRPr="00891442">
        <w:rPr>
          <w:rFonts w:ascii="Times New Roman" w:hAnsi="Times New Roman" w:cs="Times New Roman"/>
          <w:i/>
          <w:iCs/>
          <w:color w:val="000000"/>
          <w:kern w:val="0"/>
          <w:sz w:val="20"/>
          <w:szCs w:val="20"/>
          <w:lang w:val="it-IT"/>
          <w14:ligatures w14:val="none"/>
        </w:rPr>
        <w:t>member</w:t>
      </w:r>
      <w:proofErr w:type="spellEnd"/>
      <w:r w:rsidRPr="00891442">
        <w:rPr>
          <w:rFonts w:ascii="Times New Roman" w:hAnsi="Times New Roman" w:cs="Times New Roman"/>
          <w:i/>
          <w:iCs/>
          <w:color w:val="000000"/>
          <w:kern w:val="0"/>
          <w:sz w:val="20"/>
          <w:szCs w:val="20"/>
          <w:lang w:val="it-IT"/>
          <w14:ligatures w14:val="none"/>
        </w:rPr>
        <w:t xml:space="preserve"> of the </w:t>
      </w:r>
      <w:proofErr w:type="spellStart"/>
      <w:r w:rsidRPr="00891442">
        <w:rPr>
          <w:rFonts w:ascii="Times New Roman" w:hAnsi="Times New Roman" w:cs="Times New Roman"/>
          <w:i/>
          <w:iCs/>
          <w:color w:val="000000"/>
          <w:kern w:val="0"/>
          <w:sz w:val="20"/>
          <w:szCs w:val="20"/>
          <w:lang w:val="it-IT"/>
          <w14:ligatures w14:val="none"/>
        </w:rPr>
        <w:t>European</w:t>
      </w:r>
      <w:proofErr w:type="spellEnd"/>
      <w:r w:rsidRPr="00891442">
        <w:rPr>
          <w:rFonts w:ascii="Times New Roman" w:hAnsi="Times New Roman" w:cs="Times New Roman"/>
          <w:i/>
          <w:iCs/>
          <w:color w:val="000000"/>
          <w:kern w:val="0"/>
          <w:sz w:val="20"/>
          <w:szCs w:val="20"/>
          <w:lang w:val="it-IT"/>
          <w14:ligatures w14:val="none"/>
        </w:rPr>
        <w:t xml:space="preserve"> Union in </w:t>
      </w:r>
      <w:proofErr w:type="spellStart"/>
      <w:r w:rsidRPr="00891442">
        <w:rPr>
          <w:rFonts w:ascii="Times New Roman" w:hAnsi="Times New Roman" w:cs="Times New Roman"/>
          <w:i/>
          <w:iCs/>
          <w:color w:val="000000"/>
          <w:kern w:val="0"/>
          <w:sz w:val="20"/>
          <w:szCs w:val="20"/>
          <w:lang w:val="it-IT"/>
          <w14:ligatures w14:val="none"/>
        </w:rPr>
        <w:t>year</w:t>
      </w:r>
      <w:proofErr w:type="spellEnd"/>
      <w:r w:rsidRPr="00891442">
        <w:rPr>
          <w:rFonts w:ascii="Times New Roman" w:hAnsi="Times New Roman" w:cs="Times New Roman"/>
          <w:i/>
          <w:iCs/>
          <w:color w:val="000000"/>
          <w:kern w:val="0"/>
          <w:sz w:val="20"/>
          <w:szCs w:val="20"/>
          <w:lang w:val="it-IT"/>
          <w14:ligatures w14:val="none"/>
        </w:rPr>
        <w:t xml:space="preserve"> t. Same estimator </w:t>
      </w:r>
      <w:proofErr w:type="spellStart"/>
      <w:r w:rsidRPr="00891442">
        <w:rPr>
          <w:rFonts w:ascii="Times New Roman" w:hAnsi="Times New Roman" w:cs="Times New Roman"/>
          <w:i/>
          <w:iCs/>
          <w:color w:val="000000"/>
          <w:kern w:val="0"/>
          <w:sz w:val="20"/>
          <w:szCs w:val="20"/>
          <w:lang w:val="it-IT"/>
          <w14:ligatures w14:val="none"/>
        </w:rPr>
        <w:t>as</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Table</w:t>
      </w:r>
      <w:proofErr w:type="spellEnd"/>
      <w:r w:rsidRPr="00891442">
        <w:rPr>
          <w:rFonts w:ascii="Times New Roman" w:hAnsi="Times New Roman" w:cs="Times New Roman"/>
          <w:i/>
          <w:iCs/>
          <w:color w:val="000000"/>
          <w:kern w:val="0"/>
          <w:sz w:val="20"/>
          <w:szCs w:val="20"/>
          <w:lang w:val="it-IT"/>
          <w14:ligatures w14:val="none"/>
        </w:rPr>
        <w:t xml:space="preserve"> 3. RTA </w:t>
      </w:r>
      <w:proofErr w:type="spellStart"/>
      <w:r w:rsidRPr="00891442">
        <w:rPr>
          <w:rFonts w:ascii="Times New Roman" w:hAnsi="Times New Roman" w:cs="Times New Roman"/>
          <w:i/>
          <w:iCs/>
          <w:color w:val="000000"/>
          <w:kern w:val="0"/>
          <w:sz w:val="20"/>
          <w:szCs w:val="20"/>
          <w:lang w:val="it-IT"/>
          <w14:ligatures w14:val="none"/>
        </w:rPr>
        <w:t>Fert&amp;Pest</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treated</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as</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endogenous</w:t>
      </w:r>
      <w:proofErr w:type="spellEnd"/>
      <w:r w:rsidRPr="00891442">
        <w:rPr>
          <w:rFonts w:ascii="Times New Roman" w:hAnsi="Times New Roman" w:cs="Times New Roman"/>
          <w:i/>
          <w:iCs/>
          <w:color w:val="000000"/>
          <w:kern w:val="0"/>
          <w:sz w:val="20"/>
          <w:szCs w:val="20"/>
          <w:lang w:val="it-IT"/>
          <w14:ligatures w14:val="none"/>
        </w:rPr>
        <w:t xml:space="preserve"> and </w:t>
      </w:r>
      <w:proofErr w:type="spellStart"/>
      <w:r w:rsidRPr="00891442">
        <w:rPr>
          <w:rFonts w:ascii="Times New Roman" w:hAnsi="Times New Roman" w:cs="Times New Roman"/>
          <w:i/>
          <w:iCs/>
          <w:color w:val="000000"/>
          <w:kern w:val="0"/>
          <w:sz w:val="20"/>
          <w:szCs w:val="20"/>
          <w:lang w:val="it-IT"/>
          <w14:ligatures w14:val="none"/>
        </w:rPr>
        <w:t>instrumented</w:t>
      </w:r>
      <w:proofErr w:type="spellEnd"/>
      <w:r w:rsidRPr="00891442">
        <w:rPr>
          <w:rFonts w:ascii="Times New Roman" w:hAnsi="Times New Roman" w:cs="Times New Roman"/>
          <w:i/>
          <w:iCs/>
          <w:color w:val="000000"/>
          <w:kern w:val="0"/>
          <w:sz w:val="20"/>
          <w:szCs w:val="20"/>
          <w:lang w:val="it-IT"/>
          <w14:ligatures w14:val="none"/>
        </w:rPr>
        <w:t xml:space="preserve"> with </w:t>
      </w:r>
      <w:proofErr w:type="spellStart"/>
      <w:r w:rsidRPr="00891442">
        <w:rPr>
          <w:rFonts w:ascii="Times New Roman" w:hAnsi="Times New Roman" w:cs="Times New Roman"/>
          <w:i/>
          <w:iCs/>
          <w:color w:val="000000"/>
          <w:kern w:val="0"/>
          <w:sz w:val="20"/>
          <w:szCs w:val="20"/>
          <w:lang w:val="it-IT"/>
          <w14:ligatures w14:val="none"/>
        </w:rPr>
        <w:t>its</w:t>
      </w:r>
      <w:proofErr w:type="spellEnd"/>
      <w:r w:rsidRPr="00891442">
        <w:rPr>
          <w:rFonts w:ascii="Times New Roman" w:hAnsi="Times New Roman" w:cs="Times New Roman"/>
          <w:i/>
          <w:iCs/>
          <w:color w:val="000000"/>
          <w:kern w:val="0"/>
          <w:sz w:val="20"/>
          <w:szCs w:val="20"/>
          <w:lang w:val="it-IT"/>
          <w14:ligatures w14:val="none"/>
        </w:rPr>
        <w:t xml:space="preserve"> first lag. </w:t>
      </w:r>
      <w:proofErr w:type="spellStart"/>
      <w:r>
        <w:rPr>
          <w:rFonts w:ascii="Times New Roman" w:hAnsi="Times New Roman" w:cs="Times New Roman"/>
          <w:i/>
          <w:iCs/>
          <w:color w:val="000000"/>
          <w:kern w:val="0"/>
          <w:sz w:val="20"/>
          <w:szCs w:val="20"/>
          <w:lang w:val="it-IT"/>
          <w14:ligatures w14:val="none"/>
        </w:rPr>
        <w:t>R</w:t>
      </w:r>
      <w:r w:rsidRPr="00891442">
        <w:rPr>
          <w:rFonts w:ascii="Times New Roman" w:hAnsi="Times New Roman" w:cs="Times New Roman"/>
          <w:i/>
          <w:iCs/>
          <w:color w:val="000000"/>
          <w:kern w:val="0"/>
          <w:sz w:val="20"/>
          <w:szCs w:val="20"/>
          <w:lang w:val="it-IT"/>
          <w14:ligatures w14:val="none"/>
        </w:rPr>
        <w:t>obust</w:t>
      </w:r>
      <w:proofErr w:type="spellEnd"/>
      <w:r w:rsidRPr="00891442">
        <w:rPr>
          <w:rFonts w:ascii="Times New Roman" w:hAnsi="Times New Roman" w:cs="Times New Roman"/>
          <w:i/>
          <w:iCs/>
          <w:color w:val="000000"/>
          <w:kern w:val="0"/>
          <w:sz w:val="20"/>
          <w:szCs w:val="20"/>
          <w:lang w:val="it-IT"/>
          <w14:ligatures w14:val="none"/>
        </w:rPr>
        <w:t xml:space="preserve"> standard </w:t>
      </w:r>
      <w:proofErr w:type="spellStart"/>
      <w:r w:rsidRPr="00891442">
        <w:rPr>
          <w:rFonts w:ascii="Times New Roman" w:hAnsi="Times New Roman" w:cs="Times New Roman"/>
          <w:i/>
          <w:iCs/>
          <w:color w:val="000000"/>
          <w:kern w:val="0"/>
          <w:sz w:val="20"/>
          <w:szCs w:val="20"/>
          <w:lang w:val="it-IT"/>
          <w14:ligatures w14:val="none"/>
        </w:rPr>
        <w:t>errors</w:t>
      </w:r>
      <w:proofErr w:type="spellEnd"/>
      <w:r w:rsidRPr="00891442">
        <w:rPr>
          <w:rFonts w:ascii="Times New Roman" w:hAnsi="Times New Roman" w:cs="Times New Roman"/>
          <w:i/>
          <w:iCs/>
          <w:color w:val="000000"/>
          <w:kern w:val="0"/>
          <w:sz w:val="20"/>
          <w:szCs w:val="20"/>
          <w:lang w:val="it-IT"/>
          <w14:ligatures w14:val="none"/>
        </w:rPr>
        <w:t xml:space="preserve"> in </w:t>
      </w:r>
      <w:proofErr w:type="spellStart"/>
      <w:r w:rsidRPr="00891442">
        <w:rPr>
          <w:rFonts w:ascii="Times New Roman" w:hAnsi="Times New Roman" w:cs="Times New Roman"/>
          <w:i/>
          <w:iCs/>
          <w:color w:val="000000"/>
          <w:kern w:val="0"/>
          <w:sz w:val="20"/>
          <w:szCs w:val="20"/>
          <w:lang w:val="it-IT"/>
          <w14:ligatures w14:val="none"/>
        </w:rPr>
        <w:t>parentheses</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Pesaran</w:t>
      </w:r>
      <w:proofErr w:type="spellEnd"/>
      <w:r w:rsidRPr="00891442">
        <w:rPr>
          <w:rFonts w:ascii="Times New Roman" w:hAnsi="Times New Roman" w:cs="Times New Roman"/>
          <w:i/>
          <w:iCs/>
          <w:color w:val="000000"/>
          <w:kern w:val="0"/>
          <w:sz w:val="20"/>
          <w:szCs w:val="20"/>
          <w:lang w:val="it-IT"/>
          <w14:ligatures w14:val="none"/>
        </w:rPr>
        <w:t xml:space="preserve"> CD: cross-</w:t>
      </w:r>
      <w:proofErr w:type="spellStart"/>
      <w:r w:rsidRPr="00891442">
        <w:rPr>
          <w:rFonts w:ascii="Times New Roman" w:hAnsi="Times New Roman" w:cs="Times New Roman"/>
          <w:i/>
          <w:iCs/>
          <w:color w:val="000000"/>
          <w:kern w:val="0"/>
          <w:sz w:val="20"/>
          <w:szCs w:val="20"/>
          <w:lang w:val="it-IT"/>
          <w14:ligatures w14:val="none"/>
        </w:rPr>
        <w:t>sectional</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dependence</w:t>
      </w:r>
      <w:proofErr w:type="spellEnd"/>
      <w:r w:rsidRPr="00891442">
        <w:rPr>
          <w:rFonts w:ascii="Times New Roman" w:hAnsi="Times New Roman" w:cs="Times New Roman"/>
          <w:i/>
          <w:iCs/>
          <w:color w:val="000000"/>
          <w:kern w:val="0"/>
          <w:sz w:val="20"/>
          <w:szCs w:val="20"/>
          <w:lang w:val="it-IT"/>
          <w14:ligatures w14:val="none"/>
        </w:rPr>
        <w:t xml:space="preserve"> test. LM: test for </w:t>
      </w:r>
      <w:proofErr w:type="spellStart"/>
      <w:r w:rsidRPr="00891442">
        <w:rPr>
          <w:rFonts w:ascii="Times New Roman" w:hAnsi="Times New Roman" w:cs="Times New Roman"/>
          <w:i/>
          <w:iCs/>
          <w:color w:val="000000"/>
          <w:kern w:val="0"/>
          <w:sz w:val="20"/>
          <w:szCs w:val="20"/>
          <w:lang w:val="it-IT"/>
          <w14:ligatures w14:val="none"/>
        </w:rPr>
        <w:t>spatial</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error</w:t>
      </w:r>
      <w:proofErr w:type="spellEnd"/>
      <w:r w:rsidRPr="00891442">
        <w:rPr>
          <w:rFonts w:ascii="Times New Roman" w:hAnsi="Times New Roman" w:cs="Times New Roman"/>
          <w:i/>
          <w:iCs/>
          <w:color w:val="000000"/>
          <w:kern w:val="0"/>
          <w:sz w:val="20"/>
          <w:szCs w:val="20"/>
          <w:lang w:val="it-IT"/>
          <w14:ligatures w14:val="none"/>
        </w:rPr>
        <w:t xml:space="preserve"> </w:t>
      </w:r>
      <w:proofErr w:type="spellStart"/>
      <w:r w:rsidRPr="00891442">
        <w:rPr>
          <w:rFonts w:ascii="Times New Roman" w:hAnsi="Times New Roman" w:cs="Times New Roman"/>
          <w:i/>
          <w:iCs/>
          <w:color w:val="000000"/>
          <w:kern w:val="0"/>
          <w:sz w:val="20"/>
          <w:szCs w:val="20"/>
          <w:lang w:val="it-IT"/>
          <w14:ligatures w14:val="none"/>
        </w:rPr>
        <w:t>correlation</w:t>
      </w:r>
      <w:proofErr w:type="spellEnd"/>
      <w:r w:rsidRPr="00891442">
        <w:rPr>
          <w:rFonts w:ascii="Times New Roman" w:hAnsi="Times New Roman" w:cs="Times New Roman"/>
          <w:i/>
          <w:iCs/>
          <w:color w:val="000000"/>
          <w:kern w:val="0"/>
          <w:sz w:val="20"/>
          <w:szCs w:val="20"/>
          <w:lang w:val="it-IT"/>
          <w14:ligatures w14:val="none"/>
        </w:rPr>
        <w:t>. *** p&lt;0.01, ** p&lt;0.05, * p&lt;0.1.</w:t>
      </w:r>
    </w:p>
    <w:p w14:paraId="444F3D4F" w14:textId="77777777" w:rsidR="00E850E2" w:rsidRPr="00765279" w:rsidRDefault="00E850E2" w:rsidP="00813948">
      <w:pPr>
        <w:autoSpaceDE w:val="0"/>
        <w:autoSpaceDN w:val="0"/>
        <w:adjustRightInd w:val="0"/>
        <w:spacing w:before="120"/>
        <w:ind w:right="-1" w:firstLine="142"/>
        <w:rPr>
          <w:rFonts w:ascii="Times New Roman" w:hAnsi="Times New Roman" w:cs="Times New Roman"/>
        </w:rPr>
      </w:pPr>
    </w:p>
    <w:sectPr w:rsidR="00E850E2" w:rsidRPr="00765279" w:rsidSect="003B21FC">
      <w:headerReference w:type="default" r:id="rId15"/>
      <w:footerReference w:type="even" r:id="rId16"/>
      <w:footerReference w:type="default" r:id="rId17"/>
      <w:pgSz w:w="11900" w:h="16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C28B33" w14:textId="77777777" w:rsidR="00503493" w:rsidRDefault="00503493">
      <w:r>
        <w:separator/>
      </w:r>
    </w:p>
  </w:endnote>
  <w:endnote w:type="continuationSeparator" w:id="0">
    <w:p w14:paraId="283C672E" w14:textId="77777777" w:rsidR="00503493" w:rsidRDefault="005034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2" w:usb2="00000000" w:usb3="00000000" w:csb0="0000009F" w:csb1="00000000"/>
  </w:font>
  <w:font w:name="Íˆõ&lt;">
    <w:altName w:val="Calibri"/>
    <w:panose1 w:val="020B0604020202020204"/>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791514827"/>
      <w:docPartObj>
        <w:docPartGallery w:val="Page Numbers (Bottom of Page)"/>
        <w:docPartUnique/>
      </w:docPartObj>
    </w:sdtPr>
    <w:sdtContent>
      <w:p w14:paraId="3F09CA4A" w14:textId="77777777" w:rsidR="00E850E2" w:rsidRDefault="00E850E2" w:rsidP="00974802">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75A25258" w14:textId="77777777" w:rsidR="00E850E2" w:rsidRDefault="00E850E2" w:rsidP="008100A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578974337"/>
      <w:docPartObj>
        <w:docPartGallery w:val="Page Numbers (Bottom of Page)"/>
        <w:docPartUnique/>
      </w:docPartObj>
    </w:sdtPr>
    <w:sdtContent>
      <w:p w14:paraId="370103C0" w14:textId="77777777" w:rsidR="00E850E2" w:rsidRDefault="00E850E2" w:rsidP="00974802">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8</w:t>
        </w:r>
        <w:r>
          <w:rPr>
            <w:rStyle w:val="Numeropagina"/>
          </w:rPr>
          <w:fldChar w:fldCharType="end"/>
        </w:r>
      </w:p>
    </w:sdtContent>
  </w:sdt>
  <w:p w14:paraId="3CF9B025" w14:textId="77777777" w:rsidR="00E850E2" w:rsidRDefault="00E850E2" w:rsidP="008100A6">
    <w:pPr>
      <w:pStyle w:val="Pidipagina"/>
      <w:ind w:right="360"/>
      <w:jc w:val="right"/>
    </w:pPr>
  </w:p>
  <w:p w14:paraId="51E75BA6" w14:textId="77777777" w:rsidR="00E850E2" w:rsidRDefault="00E850E2">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858932945"/>
      <w:docPartObj>
        <w:docPartGallery w:val="Page Numbers (Bottom of Page)"/>
        <w:docPartUnique/>
      </w:docPartObj>
    </w:sdtPr>
    <w:sdtContent>
      <w:p w14:paraId="07C92555" w14:textId="702369A7" w:rsidR="00E452EF" w:rsidRDefault="00000000" w:rsidP="0054793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rPr>
          <w:fldChar w:fldCharType="end"/>
        </w:r>
      </w:p>
    </w:sdtContent>
  </w:sdt>
  <w:p w14:paraId="0CC8A0B0" w14:textId="77777777" w:rsidR="00E452EF" w:rsidRDefault="00E452EF" w:rsidP="00E452EF">
    <w:pPr>
      <w:pStyle w:val="Pidipagin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442730573"/>
      <w:docPartObj>
        <w:docPartGallery w:val="Page Numbers (Bottom of Page)"/>
        <w:docPartUnique/>
      </w:docPartObj>
    </w:sdtPr>
    <w:sdtContent>
      <w:p w14:paraId="23CC1D8F" w14:textId="458BB0C2" w:rsidR="00E452EF" w:rsidRDefault="00000000" w:rsidP="0054793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11</w:t>
        </w:r>
        <w:r>
          <w:rPr>
            <w:rStyle w:val="Numeropagina"/>
          </w:rPr>
          <w:fldChar w:fldCharType="end"/>
        </w:r>
      </w:p>
    </w:sdtContent>
  </w:sdt>
  <w:p w14:paraId="3314108F" w14:textId="77777777" w:rsidR="00E452EF" w:rsidRDefault="00E452EF" w:rsidP="00E452EF">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DE8933" w14:textId="77777777" w:rsidR="00503493" w:rsidRDefault="00503493" w:rsidP="00FE1590">
      <w:r>
        <w:separator/>
      </w:r>
    </w:p>
  </w:footnote>
  <w:footnote w:type="continuationSeparator" w:id="0">
    <w:p w14:paraId="383EDD66" w14:textId="77777777" w:rsidR="00503493" w:rsidRDefault="00503493" w:rsidP="00FE1590">
      <w:r>
        <w:continuationSeparator/>
      </w:r>
    </w:p>
  </w:footnote>
  <w:footnote w:type="continuationNotice" w:id="1">
    <w:p w14:paraId="15DE4E8A" w14:textId="77777777" w:rsidR="00503493" w:rsidRDefault="00503493"/>
  </w:footnote>
  <w:footnote w:id="2">
    <w:p w14:paraId="70D187D6" w14:textId="77777777" w:rsidR="00793133" w:rsidRPr="00663B0D" w:rsidRDefault="00793133" w:rsidP="00793133">
      <w:pPr>
        <w:pStyle w:val="Testonotaapidipagina"/>
        <w:rPr>
          <w:rFonts w:ascii="Times New Roman" w:hAnsi="Times New Roman" w:cs="Times New Roman"/>
          <w:sz w:val="10"/>
          <w:szCs w:val="10"/>
        </w:rPr>
      </w:pPr>
      <w:r>
        <w:rPr>
          <w:rStyle w:val="Rimandonotaapidipagina"/>
        </w:rPr>
        <w:footnoteRef/>
      </w:r>
      <w:r>
        <w:t xml:space="preserve"> </w:t>
      </w:r>
      <w:r w:rsidRPr="00663B0D">
        <w:rPr>
          <w:rFonts w:ascii="Times New Roman" w:hAnsi="Times New Roman" w:cs="Times New Roman"/>
          <w:sz w:val="18"/>
          <w:szCs w:val="18"/>
        </w:rPr>
        <w:t xml:space="preserve">One recent example </w:t>
      </w:r>
      <w:r>
        <w:rPr>
          <w:rFonts w:ascii="Times New Roman" w:hAnsi="Times New Roman" w:cs="Times New Roman"/>
          <w:sz w:val="18"/>
          <w:szCs w:val="18"/>
        </w:rPr>
        <w:t>is</w:t>
      </w:r>
      <w:r w:rsidRPr="00663B0D">
        <w:rPr>
          <w:rFonts w:ascii="Times New Roman" w:hAnsi="Times New Roman" w:cs="Times New Roman"/>
          <w:sz w:val="18"/>
          <w:szCs w:val="18"/>
        </w:rPr>
        <w:t xml:space="preserve"> the protests of </w:t>
      </w:r>
      <w:r>
        <w:rPr>
          <w:rFonts w:ascii="Times New Roman" w:hAnsi="Times New Roman" w:cs="Times New Roman"/>
          <w:sz w:val="18"/>
          <w:szCs w:val="18"/>
        </w:rPr>
        <w:t>May</w:t>
      </w:r>
      <w:r w:rsidRPr="00663B0D">
        <w:rPr>
          <w:rFonts w:ascii="Times New Roman" w:hAnsi="Times New Roman" w:cs="Times New Roman"/>
          <w:sz w:val="18"/>
          <w:szCs w:val="18"/>
        </w:rPr>
        <w:t xml:space="preserve"> 2023 </w:t>
      </w:r>
      <w:r>
        <w:rPr>
          <w:rFonts w:ascii="Times New Roman" w:hAnsi="Times New Roman" w:cs="Times New Roman"/>
          <w:sz w:val="18"/>
          <w:szCs w:val="18"/>
        </w:rPr>
        <w:t>in Brussels against the EU- Mercosur trade negotiations</w:t>
      </w:r>
      <w:r>
        <w:rPr>
          <w:rFonts w:ascii="Times New Roman" w:hAnsi="Times New Roman" w:cs="Times New Roman"/>
        </w:rPr>
        <w:t xml:space="preserve">. </w:t>
      </w:r>
      <w:r w:rsidRPr="00663B0D">
        <w:rPr>
          <w:rFonts w:ascii="Times New Roman" w:hAnsi="Times New Roman" w:cs="Times New Roman"/>
          <w:color w:val="000000"/>
          <w:sz w:val="18"/>
          <w:szCs w:val="18"/>
          <w:shd w:val="clear" w:color="auto" w:fill="FFFFFF"/>
        </w:rPr>
        <w:t xml:space="preserve">Activists from Greenpeace </w:t>
      </w:r>
      <w:r>
        <w:rPr>
          <w:rFonts w:ascii="Times New Roman" w:hAnsi="Times New Roman" w:cs="Times New Roman"/>
          <w:color w:val="000000"/>
          <w:sz w:val="18"/>
          <w:szCs w:val="18"/>
          <w:shd w:val="clear" w:color="auto" w:fill="FFFFFF"/>
        </w:rPr>
        <w:t xml:space="preserve">argue that this trade agreement will increase trade in agrochemicals and their use in agriculture. They have </w:t>
      </w:r>
      <w:r w:rsidRPr="00663B0D">
        <w:rPr>
          <w:rFonts w:ascii="Times New Roman" w:hAnsi="Times New Roman" w:cs="Times New Roman"/>
          <w:color w:val="000000"/>
          <w:sz w:val="18"/>
          <w:szCs w:val="18"/>
          <w:shd w:val="clear" w:color="auto" w:fill="FFFFFF"/>
        </w:rPr>
        <w:t xml:space="preserve">sprayed </w:t>
      </w:r>
      <w:r>
        <w:rPr>
          <w:rFonts w:ascii="Times New Roman" w:hAnsi="Times New Roman" w:cs="Times New Roman"/>
          <w:color w:val="000000"/>
          <w:sz w:val="18"/>
          <w:szCs w:val="18"/>
          <w:shd w:val="clear" w:color="auto" w:fill="FFFFFF"/>
        </w:rPr>
        <w:t xml:space="preserve">the </w:t>
      </w:r>
      <w:r w:rsidRPr="00B87398">
        <w:rPr>
          <w:rFonts w:ascii="Times New Roman" w:hAnsi="Times New Roman" w:cs="Times New Roman"/>
          <w:color w:val="000000"/>
          <w:sz w:val="18"/>
          <w:szCs w:val="18"/>
          <w:shd w:val="clear" w:color="auto" w:fill="FFFFFF"/>
        </w:rPr>
        <w:t xml:space="preserve">EU Council headquarters </w:t>
      </w:r>
      <w:r w:rsidRPr="00663B0D">
        <w:rPr>
          <w:rFonts w:ascii="Times New Roman" w:hAnsi="Times New Roman" w:cs="Times New Roman"/>
          <w:color w:val="000000"/>
          <w:sz w:val="18"/>
          <w:szCs w:val="18"/>
          <w:shd w:val="clear" w:color="auto" w:fill="FFFFFF"/>
        </w:rPr>
        <w:t xml:space="preserve">with an agricultural pesticide pump, while EU trade ministers </w:t>
      </w:r>
      <w:r>
        <w:rPr>
          <w:rFonts w:ascii="Times New Roman" w:hAnsi="Times New Roman" w:cs="Times New Roman"/>
          <w:color w:val="000000"/>
          <w:sz w:val="18"/>
          <w:szCs w:val="18"/>
          <w:shd w:val="clear" w:color="auto" w:fill="FFFFFF"/>
        </w:rPr>
        <w:t xml:space="preserve">were </w:t>
      </w:r>
      <w:r w:rsidRPr="00663B0D">
        <w:rPr>
          <w:rFonts w:ascii="Times New Roman" w:hAnsi="Times New Roman" w:cs="Times New Roman"/>
          <w:color w:val="000000"/>
          <w:sz w:val="18"/>
          <w:szCs w:val="18"/>
          <w:shd w:val="clear" w:color="auto" w:fill="FFFFFF"/>
        </w:rPr>
        <w:t>discuss</w:t>
      </w:r>
      <w:r>
        <w:rPr>
          <w:rFonts w:ascii="Times New Roman" w:hAnsi="Times New Roman" w:cs="Times New Roman"/>
          <w:color w:val="000000"/>
          <w:sz w:val="18"/>
          <w:szCs w:val="18"/>
          <w:shd w:val="clear" w:color="auto" w:fill="FFFFFF"/>
        </w:rPr>
        <w:t>ing</w:t>
      </w:r>
      <w:r w:rsidRPr="00663B0D">
        <w:rPr>
          <w:rFonts w:ascii="Times New Roman" w:hAnsi="Times New Roman" w:cs="Times New Roman"/>
          <w:color w:val="000000"/>
          <w:sz w:val="18"/>
          <w:szCs w:val="18"/>
          <w:shd w:val="clear" w:color="auto" w:fill="FFFFFF"/>
        </w:rPr>
        <w:t xml:space="preserve"> the EU-Mercosur trade deal. </w:t>
      </w:r>
      <w:r>
        <w:rPr>
          <w:rFonts w:ascii="Times New Roman" w:hAnsi="Times New Roman" w:cs="Times New Roman"/>
          <w:color w:val="000000"/>
          <w:sz w:val="18"/>
          <w:szCs w:val="18"/>
          <w:shd w:val="clear" w:color="auto" w:fill="FFFFFF"/>
        </w:rPr>
        <w:t xml:space="preserve"> </w:t>
      </w:r>
      <w:r w:rsidRPr="00F317BF">
        <w:rPr>
          <w:rFonts w:ascii="Times New Roman" w:hAnsi="Times New Roman" w:cs="Times New Roman"/>
          <w:color w:val="000000"/>
          <w:sz w:val="18"/>
          <w:szCs w:val="18"/>
          <w:shd w:val="clear" w:color="auto" w:fill="FFFFFF"/>
        </w:rPr>
        <w:t>https://www.greenpeace.org/eu-unit/issues/nature-food/47322/want-to-do-something-good-for-farmers-stop-the-eu-mercosur-trade-deal/?utm_source=chatgpt.com</w:t>
      </w:r>
    </w:p>
  </w:footnote>
  <w:footnote w:id="3">
    <w:p w14:paraId="0D0E842C" w14:textId="77777777" w:rsidR="00A84808" w:rsidRPr="0085395D" w:rsidRDefault="00A84808" w:rsidP="00A84808">
      <w:pPr>
        <w:pStyle w:val="Testonotaapidipagina"/>
        <w:rPr>
          <w:rFonts w:ascii="Times New Roman" w:hAnsi="Times New Roman" w:cs="Times New Roman"/>
          <w:color w:val="000000" w:themeColor="text1"/>
          <w:sz w:val="18"/>
          <w:szCs w:val="18"/>
        </w:rPr>
      </w:pPr>
      <w:r w:rsidRPr="0085395D">
        <w:rPr>
          <w:rStyle w:val="Rimandonotaapidipagina"/>
          <w:rFonts w:ascii="Times New Roman" w:hAnsi="Times New Roman" w:cs="Times New Roman"/>
          <w:color w:val="000000" w:themeColor="text1"/>
          <w:sz w:val="18"/>
          <w:szCs w:val="18"/>
        </w:rPr>
        <w:footnoteRef/>
      </w:r>
      <w:r w:rsidRPr="0085395D">
        <w:rPr>
          <w:rFonts w:ascii="Times New Roman" w:hAnsi="Times New Roman" w:cs="Times New Roman"/>
          <w:color w:val="000000" w:themeColor="text1"/>
          <w:sz w:val="18"/>
          <w:szCs w:val="18"/>
        </w:rPr>
        <w:t xml:space="preserve"> </w:t>
      </w:r>
      <w:r w:rsidRPr="0085395D">
        <w:rPr>
          <w:rFonts w:ascii="Times New Roman" w:hAnsi="Times New Roman" w:cs="Times New Roman"/>
          <w:color w:val="000000" w:themeColor="text1"/>
          <w:sz w:val="18"/>
          <w:szCs w:val="18"/>
          <w:shd w:val="clear" w:color="auto" w:fill="FFFFFF"/>
        </w:rPr>
        <w:t xml:space="preserve">Cha and Koo (2021) have shown that because of strict EU regulations on chemicals, several exporting countries have harmonized their legislation to that of the EU.  </w:t>
      </w:r>
    </w:p>
  </w:footnote>
  <w:footnote w:id="4">
    <w:p w14:paraId="01FD9FDD" w14:textId="3B307573" w:rsidR="00AF07AC" w:rsidRPr="00522F63" w:rsidRDefault="00AF07AC" w:rsidP="00AF07AC">
      <w:pPr>
        <w:pStyle w:val="Testonotaapidipagina"/>
        <w:jc w:val="both"/>
        <w:rPr>
          <w:rFonts w:ascii="Times New Roman" w:hAnsi="Times New Roman" w:cs="Times New Roman"/>
          <w:sz w:val="18"/>
          <w:szCs w:val="18"/>
        </w:rPr>
      </w:pPr>
      <w:r>
        <w:rPr>
          <w:rStyle w:val="Rimandonotaapidipagina"/>
        </w:rPr>
        <w:footnoteRef/>
      </w:r>
      <w:r>
        <w:t xml:space="preserve"> </w:t>
      </w:r>
      <w:r w:rsidR="00522F63" w:rsidRPr="00522F63">
        <w:rPr>
          <w:rFonts w:ascii="Times New Roman" w:hAnsi="Times New Roman" w:cs="Times New Roman"/>
          <w:sz w:val="18"/>
          <w:szCs w:val="18"/>
        </w:rPr>
        <w:t>It is worth noting that other studies have relied on alternative databases to measure domestic environmental regulation (e.g., Martinez-Zarzoso et al., 2023; Avesani et al., 2024). However, in our specific context, the WTO TBT notifications database offers a more suitable source. This is primarily because it allows for precise identification of relevant products through the use of Harmonized System (HS) or International Classification for Standards (ICS) product codes. This level of specificity is essential for accurately capturing regulations targeting fertilizers and pesticides, which is central to our empirical analysis.</w:t>
      </w:r>
    </w:p>
  </w:footnote>
  <w:footnote w:id="5">
    <w:p w14:paraId="06EA3A7D" w14:textId="77777777" w:rsidR="00A53BF1" w:rsidRPr="00A43CD7" w:rsidRDefault="00A53BF1" w:rsidP="00A53BF1">
      <w:pPr>
        <w:pStyle w:val="Testonotaapidipagina"/>
        <w:jc w:val="both"/>
        <w:rPr>
          <w:rFonts w:ascii="Times New Roman" w:hAnsi="Times New Roman" w:cs="Times New Roman"/>
          <w:sz w:val="18"/>
          <w:szCs w:val="18"/>
        </w:rPr>
      </w:pPr>
      <w:r>
        <w:rPr>
          <w:rStyle w:val="Rimandonotaapidipagina"/>
        </w:rPr>
        <w:footnoteRef/>
      </w:r>
      <w:r>
        <w:t xml:space="preserve"> </w:t>
      </w:r>
      <w:r w:rsidRPr="00A43CD7">
        <w:rPr>
          <w:rFonts w:ascii="Times New Roman" w:hAnsi="Times New Roman" w:cs="Times New Roman"/>
          <w:sz w:val="18"/>
          <w:szCs w:val="18"/>
        </w:rPr>
        <w:t xml:space="preserve">These data are </w:t>
      </w:r>
      <w:r w:rsidRPr="00A43CD7">
        <w:rPr>
          <w:rFonts w:ascii="Times New Roman" w:hAnsi="Times New Roman" w:cs="Times New Roman"/>
          <w:sz w:val="18"/>
          <w:szCs w:val="18"/>
          <w:lang w:val="en-GB"/>
        </w:rPr>
        <w:t>drawn from the WTO database</w:t>
      </w:r>
      <w:r w:rsidRPr="00A43CD7">
        <w:rPr>
          <w:rFonts w:ascii="Times New Roman" w:hAnsi="Times New Roman" w:cs="Times New Roman"/>
          <w:sz w:val="18"/>
          <w:szCs w:val="18"/>
        </w:rPr>
        <w:t xml:space="preserve"> downloadable at </w:t>
      </w:r>
      <w:hyperlink r:id="rId1" w:history="1">
        <w:r w:rsidRPr="00A43CD7">
          <w:rPr>
            <w:rStyle w:val="Collegamentoipertestuale"/>
            <w:rFonts w:ascii="Times New Roman" w:hAnsi="Times New Roman" w:cs="Times New Roman"/>
            <w:sz w:val="18"/>
            <w:szCs w:val="18"/>
          </w:rPr>
          <w:t>https://eping.wto.org/en/FactsAndFigures/Notifications</w:t>
        </w:r>
      </w:hyperlink>
      <w:r w:rsidRPr="00A43CD7">
        <w:rPr>
          <w:rFonts w:ascii="Times New Roman" w:hAnsi="Times New Roman" w:cs="Times New Roman"/>
          <w:sz w:val="18"/>
          <w:szCs w:val="18"/>
        </w:rPr>
        <w:t xml:space="preserve">. Our sample includes </w:t>
      </w:r>
      <w:r w:rsidRPr="00A43CD7">
        <w:rPr>
          <w:rFonts w:ascii="Times New Roman" w:hAnsi="Times New Roman" w:cs="Times New Roman"/>
          <w:sz w:val="18"/>
          <w:szCs w:val="18"/>
          <w:lang w:val="en-GB"/>
        </w:rPr>
        <w:t xml:space="preserve">TBT regulating products corresponding to ICS-65, HS-31 and HS-38. </w:t>
      </w:r>
    </w:p>
  </w:footnote>
  <w:footnote w:id="6">
    <w:p w14:paraId="58E3262A" w14:textId="77777777" w:rsidR="00FE1590" w:rsidRPr="008E5830" w:rsidRDefault="00000000" w:rsidP="005F2D53">
      <w:pPr>
        <w:pStyle w:val="Testonotaapidipagina"/>
        <w:jc w:val="both"/>
        <w:rPr>
          <w:rFonts w:ascii="Times New Roman" w:hAnsi="Times New Roman" w:cs="Times New Roman"/>
          <w:sz w:val="18"/>
          <w:szCs w:val="18"/>
        </w:rPr>
      </w:pPr>
      <w:r w:rsidRPr="008E5830">
        <w:rPr>
          <w:rStyle w:val="Rimandonotaapidipagina"/>
          <w:rFonts w:ascii="Times New Roman" w:hAnsi="Times New Roman" w:cs="Times New Roman"/>
          <w:sz w:val="18"/>
          <w:szCs w:val="18"/>
        </w:rPr>
        <w:footnoteRef/>
      </w:r>
      <w:r w:rsidRPr="008E5830">
        <w:rPr>
          <w:rFonts w:ascii="Times New Roman" w:hAnsi="Times New Roman" w:cs="Times New Roman"/>
          <w:sz w:val="18"/>
          <w:szCs w:val="18"/>
        </w:rPr>
        <w:t xml:space="preserve"> Data and </w:t>
      </w:r>
      <w:r>
        <w:rPr>
          <w:rFonts w:ascii="Times New Roman" w:hAnsi="Times New Roman" w:cs="Times New Roman"/>
          <w:sz w:val="18"/>
          <w:szCs w:val="18"/>
        </w:rPr>
        <w:t>database</w:t>
      </w:r>
      <w:r w:rsidRPr="008E5830">
        <w:rPr>
          <w:rFonts w:ascii="Times New Roman" w:hAnsi="Times New Roman" w:cs="Times New Roman"/>
          <w:sz w:val="18"/>
          <w:szCs w:val="18"/>
        </w:rPr>
        <w:t xml:space="preserve"> are available at </w:t>
      </w:r>
      <w:hyperlink r:id="rId2" w:history="1">
        <w:r w:rsidR="00FE1590" w:rsidRPr="008E5830">
          <w:rPr>
            <w:rStyle w:val="Collegamentoipertestuale"/>
            <w:rFonts w:ascii="Times New Roman" w:hAnsi="Times New Roman" w:cs="Times New Roman"/>
            <w:sz w:val="18"/>
            <w:szCs w:val="18"/>
          </w:rPr>
          <w:t>https://www.chaire-epi.ulaval.ca/en/trend</w:t>
        </w:r>
      </w:hyperlink>
      <w:r w:rsidRPr="008E5830">
        <w:rPr>
          <w:rFonts w:ascii="Times New Roman" w:hAnsi="Times New Roman" w:cs="Times New Roman"/>
          <w:sz w:val="18"/>
          <w:szCs w:val="18"/>
        </w:rPr>
        <w:t xml:space="preserve">. </w:t>
      </w:r>
    </w:p>
  </w:footnote>
  <w:footnote w:id="7">
    <w:p w14:paraId="1D3C09F4" w14:textId="77777777" w:rsidR="00FE1590" w:rsidRPr="00232E75" w:rsidRDefault="00000000" w:rsidP="00FE1590">
      <w:pPr>
        <w:pStyle w:val="Testonotaapidipagina"/>
      </w:pPr>
      <w:r>
        <w:rPr>
          <w:rStyle w:val="Rimandonotaapidipagina"/>
        </w:rPr>
        <w:footnoteRef/>
      </w:r>
      <w:r>
        <w:t xml:space="preserve"> </w:t>
      </w:r>
      <w:r w:rsidRPr="00232E75">
        <w:rPr>
          <w:rFonts w:ascii="Times New Roman" w:hAnsi="Times New Roman" w:cs="Times New Roman"/>
          <w:sz w:val="18"/>
          <w:szCs w:val="18"/>
        </w:rPr>
        <w:t xml:space="preserve">According to the TREND dataset, </w:t>
      </w:r>
      <w:r>
        <w:rPr>
          <w:rFonts w:ascii="Times New Roman" w:hAnsi="Times New Roman" w:cs="Times New Roman"/>
          <w:sz w:val="18"/>
          <w:szCs w:val="18"/>
        </w:rPr>
        <w:t>in the period 1995-2007 only 4 RTAs were including provisions related to organic food. We hence report in figure 3 only the period 2008-2017.</w:t>
      </w:r>
      <w:r w:rsidRPr="00232E75">
        <w:rPr>
          <w:rFonts w:ascii="Times New Roman" w:hAnsi="Times New Roman" w:cs="Times New Roman"/>
          <w:sz w:val="18"/>
          <w:szCs w:val="18"/>
        </w:rPr>
        <w:t xml:space="preserve"> </w:t>
      </w:r>
    </w:p>
  </w:footnote>
  <w:footnote w:id="8">
    <w:p w14:paraId="4AEB0928" w14:textId="77777777" w:rsidR="00FE1590" w:rsidRPr="00C957BD" w:rsidRDefault="00000000" w:rsidP="00FE1590">
      <w:pPr>
        <w:pStyle w:val="Testonotaapidipagina"/>
      </w:pPr>
      <w:r w:rsidRPr="00D71772">
        <w:rPr>
          <w:rStyle w:val="Rimandonotaapidipagina"/>
          <w:rFonts w:ascii="Times New Roman" w:hAnsi="Times New Roman" w:cs="Times New Roman"/>
          <w:sz w:val="18"/>
          <w:szCs w:val="18"/>
        </w:rPr>
        <w:footnoteRef/>
      </w:r>
      <w:r w:rsidRPr="00D71772">
        <w:rPr>
          <w:rFonts w:ascii="Times New Roman" w:hAnsi="Times New Roman" w:cs="Times New Roman"/>
          <w:sz w:val="18"/>
          <w:szCs w:val="18"/>
        </w:rPr>
        <w:t xml:space="preserve"> </w:t>
      </w:r>
      <w:hyperlink r:id="rId3" w:history="1">
        <w:r w:rsidR="00FE1590" w:rsidRPr="00D71772">
          <w:rPr>
            <w:rStyle w:val="Collegamentoipertestuale"/>
            <w:rFonts w:ascii="Times New Roman" w:hAnsi="Times New Roman" w:cs="Times New Roman"/>
            <w:sz w:val="18"/>
            <w:szCs w:val="18"/>
            <w:lang w:val="en-CA"/>
          </w:rPr>
          <w:t>https://epi.yale.edu/</w:t>
        </w:r>
      </w:hyperlink>
    </w:p>
  </w:footnote>
  <w:footnote w:id="9">
    <w:p w14:paraId="61604CDD" w14:textId="58CD2117" w:rsidR="00DB38F6" w:rsidRPr="00D7655C" w:rsidRDefault="00000000" w:rsidP="00DB38F6">
      <w:pPr>
        <w:pStyle w:val="Testonotaapidipagina"/>
        <w:rPr>
          <w:sz w:val="18"/>
        </w:rPr>
      </w:pPr>
      <w:r>
        <w:rPr>
          <w:rStyle w:val="Rimandonotaapidipagina"/>
        </w:rPr>
        <w:footnoteRef/>
      </w:r>
      <w:r>
        <w:t xml:space="preserve"> </w:t>
      </w:r>
      <w:r w:rsidRPr="00DB38F6">
        <w:rPr>
          <w:rFonts w:ascii="Times New Roman" w:hAnsi="Times New Roman" w:cs="Times New Roman"/>
          <w:kern w:val="0"/>
          <w:sz w:val="18"/>
          <w:szCs w:val="18"/>
          <w:lang w:val="en-GB"/>
        </w:rPr>
        <w:t xml:space="preserve">We preliminary test for the presence in the series of unit roots, and thus integrated processes, that may bias the estimates in terms of time-causality. The tests lead us to reject the null hypothesis of unit root in the panel series and, </w:t>
      </w:r>
      <w:r w:rsidRPr="00DB38F6">
        <w:rPr>
          <w:rFonts w:ascii="Times New Roman" w:hAnsi="Times New Roman" w:cs="Times New Roman"/>
          <w:color w:val="000000" w:themeColor="text1"/>
          <w:kern w:val="0"/>
          <w:sz w:val="18"/>
          <w:szCs w:val="18"/>
          <w:lang w:val="en-GB"/>
        </w:rPr>
        <w:t>consequently, to exclude the risk of trend regressions, spurious, due to the presence of time- causality (see Table A.2. in the Appendix)</w:t>
      </w:r>
      <w:r>
        <w:rPr>
          <w:rFonts w:ascii="Times New Roman" w:hAnsi="Times New Roman" w:cs="Times New Roman"/>
          <w:color w:val="000000" w:themeColor="text1"/>
          <w:kern w:val="0"/>
          <w:sz w:val="18"/>
          <w:szCs w:val="18"/>
          <w:lang w:val="en-GB"/>
        </w:rPr>
        <w:t xml:space="preserve">. </w:t>
      </w:r>
      <w:r w:rsidRPr="00DB38F6">
        <w:rPr>
          <w:rFonts w:ascii="Times New Roman" w:hAnsi="Times New Roman" w:cs="Times New Roman"/>
          <w:kern w:val="0"/>
          <w:sz w:val="18"/>
          <w:szCs w:val="18"/>
          <w:lang w:val="en-GB"/>
        </w:rPr>
        <w:t xml:space="preserve">Two different testing procedures for panel data have been carried out to test unit root hypotheses: the Levin et al. (2002) test and the cross-sectionally augmented </w:t>
      </w:r>
      <w:proofErr w:type="spellStart"/>
      <w:r w:rsidRPr="00DB38F6">
        <w:rPr>
          <w:rFonts w:ascii="Times New Roman" w:hAnsi="Times New Roman" w:cs="Times New Roman"/>
          <w:kern w:val="0"/>
          <w:sz w:val="18"/>
          <w:szCs w:val="18"/>
          <w:lang w:val="en-GB"/>
        </w:rPr>
        <w:t>Im</w:t>
      </w:r>
      <w:proofErr w:type="spellEnd"/>
      <w:r w:rsidRPr="00DB38F6">
        <w:rPr>
          <w:rFonts w:ascii="Times New Roman" w:hAnsi="Times New Roman" w:cs="Times New Roman"/>
          <w:kern w:val="0"/>
          <w:sz w:val="18"/>
          <w:szCs w:val="18"/>
          <w:lang w:val="en-GB"/>
        </w:rPr>
        <w:t xml:space="preserve">, </w:t>
      </w:r>
      <w:proofErr w:type="spellStart"/>
      <w:r w:rsidRPr="00DB38F6">
        <w:rPr>
          <w:rFonts w:ascii="Times New Roman" w:hAnsi="Times New Roman" w:cs="Times New Roman"/>
          <w:kern w:val="0"/>
          <w:sz w:val="18"/>
          <w:szCs w:val="18"/>
          <w:lang w:val="en-GB"/>
        </w:rPr>
        <w:t>Pesaran</w:t>
      </w:r>
      <w:proofErr w:type="spellEnd"/>
      <w:r w:rsidRPr="00DB38F6">
        <w:rPr>
          <w:rFonts w:ascii="Times New Roman" w:hAnsi="Times New Roman" w:cs="Times New Roman"/>
          <w:kern w:val="0"/>
          <w:sz w:val="18"/>
          <w:szCs w:val="18"/>
          <w:lang w:val="en-GB"/>
        </w:rPr>
        <w:t xml:space="preserve"> and Shin (IPS) test for unit roots in panel models (</w:t>
      </w:r>
      <w:proofErr w:type="spellStart"/>
      <w:r w:rsidRPr="00DB38F6">
        <w:rPr>
          <w:rFonts w:ascii="Times New Roman" w:hAnsi="Times New Roman" w:cs="Times New Roman"/>
          <w:kern w:val="0"/>
          <w:sz w:val="18"/>
          <w:szCs w:val="18"/>
          <w:lang w:val="en-GB"/>
        </w:rPr>
        <w:t>Im</w:t>
      </w:r>
      <w:proofErr w:type="spellEnd"/>
      <w:r w:rsidRPr="00DB38F6">
        <w:rPr>
          <w:rFonts w:ascii="Times New Roman" w:hAnsi="Times New Roman" w:cs="Times New Roman"/>
          <w:kern w:val="0"/>
          <w:sz w:val="18"/>
          <w:szCs w:val="18"/>
          <w:lang w:val="en-GB"/>
        </w:rPr>
        <w:t xml:space="preserve"> et al. 2003), which is a so-called second-generation panel unit root test because it is robust against cross-sectional dependence.</w:t>
      </w:r>
    </w:p>
  </w:footnote>
  <w:footnote w:id="10">
    <w:p w14:paraId="46202A7D" w14:textId="4C70E1B4" w:rsidR="004C02FB" w:rsidRPr="004C02FB" w:rsidRDefault="004C02FB">
      <w:pPr>
        <w:pStyle w:val="Testonotaapidipagina"/>
        <w:rPr>
          <w:lang w:val="it-IT"/>
        </w:rPr>
      </w:pPr>
      <w:r>
        <w:rPr>
          <w:rStyle w:val="Rimandonotaapidipagina"/>
        </w:rPr>
        <w:footnoteRef/>
      </w:r>
      <w:r>
        <w:t xml:space="preserve"> </w:t>
      </w:r>
      <w:r>
        <w:rPr>
          <w:rFonts w:ascii="Times New Roman" w:hAnsi="Times New Roman" w:cs="Times New Roman"/>
          <w:lang w:val="it-IT"/>
        </w:rPr>
        <w:t>T</w:t>
      </w:r>
      <w:r w:rsidRPr="00765279">
        <w:rPr>
          <w:rFonts w:ascii="Times New Roman" w:hAnsi="Times New Roman" w:cs="Times New Roman"/>
          <w:kern w:val="0"/>
          <w:lang w:val="en-GB"/>
        </w:rPr>
        <w:t xml:space="preserve">he Breusch–Godfrey and </w:t>
      </w:r>
      <w:proofErr w:type="spellStart"/>
      <w:r w:rsidRPr="00765279">
        <w:rPr>
          <w:rFonts w:ascii="Times New Roman" w:hAnsi="Times New Roman" w:cs="Times New Roman"/>
          <w:kern w:val="0"/>
          <w:lang w:val="en-GB"/>
        </w:rPr>
        <w:t>Pesaran</w:t>
      </w:r>
      <w:proofErr w:type="spellEnd"/>
      <w:r w:rsidRPr="00765279">
        <w:rPr>
          <w:rFonts w:ascii="Times New Roman" w:hAnsi="Times New Roman" w:cs="Times New Roman"/>
          <w:kern w:val="0"/>
          <w:lang w:val="en-GB"/>
        </w:rPr>
        <w:t xml:space="preserve"> CD tests led us to reject the null hypothesis of time and cross-sectional independence</w:t>
      </w:r>
      <w:r>
        <w:rPr>
          <w:rFonts w:ascii="Times New Roman" w:hAnsi="Times New Roman" w:cs="Times New Roman"/>
          <w:kern w:val="0"/>
          <w:lang w:val="en-GB"/>
        </w:rPr>
        <w:t xml:space="preserve"> (see Table 1 in the next section).</w:t>
      </w:r>
    </w:p>
  </w:footnote>
  <w:footnote w:id="11">
    <w:p w14:paraId="4F4DC9E5" w14:textId="40EDE953" w:rsidR="00404E96" w:rsidRPr="00A834D3" w:rsidRDefault="00000000">
      <w:pPr>
        <w:pStyle w:val="Testonotaapidipagina"/>
      </w:pPr>
      <w:r>
        <w:rPr>
          <w:rStyle w:val="Rimandonotaapidipagina"/>
        </w:rPr>
        <w:footnoteRef/>
      </w:r>
      <w:r>
        <w:t xml:space="preserve"> </w:t>
      </w:r>
      <w:r>
        <w:rPr>
          <w:rFonts w:ascii="Times New Roman" w:hAnsi="Times New Roman" w:cs="Times New Roman"/>
          <w:kern w:val="0"/>
          <w:lang w:val="en-GB"/>
        </w:rPr>
        <w:t>V</w:t>
      </w:r>
      <w:r w:rsidRPr="00D46AA8">
        <w:rPr>
          <w:rFonts w:ascii="Times New Roman" w:hAnsi="Times New Roman" w:cs="Times New Roman"/>
          <w:kern w:val="0"/>
          <w:lang w:val="en-GB"/>
        </w:rPr>
        <w:t>ariables</w:t>
      </w:r>
      <w:r>
        <w:rPr>
          <w:rFonts w:ascii="Times New Roman" w:hAnsi="Times New Roman" w:cs="Times New Roman"/>
          <w:kern w:val="0"/>
          <w:lang w:val="en-GB"/>
        </w:rPr>
        <w:t xml:space="preserve"> measuring environmental provisions</w:t>
      </w:r>
      <w:r w:rsidRPr="00D46AA8">
        <w:rPr>
          <w:rFonts w:ascii="Times New Roman" w:hAnsi="Times New Roman" w:cs="Times New Roman"/>
          <w:kern w:val="0"/>
          <w:lang w:val="en-GB"/>
        </w:rPr>
        <w:t>, potentially endogenous, are instrumented with their lags. The number of optimal lags selected to instrument the endogenous variables and the number of observations (which varies according to the lag length) are reported at the bottom</w:t>
      </w:r>
      <w:r w:rsidR="00F272E5">
        <w:rPr>
          <w:rFonts w:ascii="Times New Roman" w:hAnsi="Times New Roman" w:cs="Times New Roman"/>
          <w:kern w:val="0"/>
          <w:lang w:val="en-GB"/>
        </w:rPr>
        <w:t xml:space="preserve"> of Tables</w:t>
      </w:r>
      <w:r w:rsidRPr="00D46AA8">
        <w:rPr>
          <w:rFonts w:ascii="Times New Roman" w:hAnsi="Times New Roman" w:cs="Times New Roman"/>
          <w:kern w:val="0"/>
          <w:lang w:val="en-GB"/>
        </w:rPr>
        <w:t>.</w:t>
      </w:r>
    </w:p>
  </w:footnote>
  <w:footnote w:id="12">
    <w:p w14:paraId="48747F5D" w14:textId="2794CE65" w:rsidR="00B95DFC" w:rsidRPr="00A834D3" w:rsidRDefault="00000000" w:rsidP="00054F3F">
      <w:pPr>
        <w:pStyle w:val="Testonotaapidipagina"/>
        <w:jc w:val="both"/>
      </w:pPr>
      <w:r>
        <w:rPr>
          <w:rStyle w:val="Rimandonotaapidipagina"/>
        </w:rPr>
        <w:footnoteRef/>
      </w:r>
      <w:r>
        <w:t xml:space="preserve"> </w:t>
      </w:r>
      <w:r>
        <w:rPr>
          <w:rFonts w:ascii="Times New Roman" w:hAnsi="Times New Roman" w:cs="Times New Roman"/>
          <w:kern w:val="0"/>
          <w:lang w:val="en-GB"/>
        </w:rPr>
        <w:t>T</w:t>
      </w:r>
      <w:r w:rsidRPr="00AE302A">
        <w:rPr>
          <w:rFonts w:ascii="Times New Roman" w:hAnsi="Times New Roman" w:cs="Times New Roman"/>
          <w:kern w:val="0"/>
          <w:lang w:val="en-GB"/>
        </w:rPr>
        <w:t xml:space="preserve">o ensure the validity of </w:t>
      </w:r>
      <w:r>
        <w:rPr>
          <w:rFonts w:ascii="Times New Roman" w:hAnsi="Times New Roman" w:cs="Times New Roman"/>
          <w:kern w:val="0"/>
          <w:lang w:val="en-GB"/>
        </w:rPr>
        <w:t>dynamic</w:t>
      </w:r>
      <w:r w:rsidRPr="00AE302A">
        <w:rPr>
          <w:rFonts w:ascii="Times New Roman" w:hAnsi="Times New Roman" w:cs="Times New Roman"/>
          <w:kern w:val="0"/>
          <w:lang w:val="en-GB"/>
        </w:rPr>
        <w:t xml:space="preserve"> identification strategy</w:t>
      </w:r>
      <w:r>
        <w:rPr>
          <w:rFonts w:ascii="Times New Roman" w:hAnsi="Times New Roman" w:cs="Times New Roman"/>
          <w:kern w:val="0"/>
          <w:lang w:val="en-GB"/>
        </w:rPr>
        <w:t xml:space="preserve"> w</w:t>
      </w:r>
      <w:r w:rsidRPr="00AE302A">
        <w:rPr>
          <w:rFonts w:ascii="Times New Roman" w:hAnsi="Times New Roman" w:cs="Times New Roman"/>
          <w:kern w:val="0"/>
          <w:lang w:val="en-GB"/>
        </w:rPr>
        <w:t>e assessed instrument exogeneity</w:t>
      </w:r>
      <w:r>
        <w:rPr>
          <w:rFonts w:ascii="Times New Roman" w:hAnsi="Times New Roman" w:cs="Times New Roman"/>
          <w:kern w:val="0"/>
          <w:lang w:val="en-GB"/>
        </w:rPr>
        <w:t>,</w:t>
      </w:r>
      <w:r w:rsidRPr="00AE302A">
        <w:rPr>
          <w:rFonts w:ascii="Times New Roman" w:hAnsi="Times New Roman" w:cs="Times New Roman"/>
          <w:kern w:val="0"/>
          <w:lang w:val="en-GB"/>
        </w:rPr>
        <w:t xml:space="preserve"> through </w:t>
      </w:r>
      <w:proofErr w:type="spellStart"/>
      <w:r w:rsidRPr="00AE302A">
        <w:rPr>
          <w:rFonts w:ascii="Times New Roman" w:hAnsi="Times New Roman" w:cs="Times New Roman"/>
          <w:kern w:val="0"/>
          <w:lang w:val="en-GB"/>
        </w:rPr>
        <w:t>Sargan</w:t>
      </w:r>
      <w:proofErr w:type="spellEnd"/>
      <w:r w:rsidRPr="00AE302A">
        <w:rPr>
          <w:rFonts w:ascii="Times New Roman" w:hAnsi="Times New Roman" w:cs="Times New Roman"/>
          <w:kern w:val="0"/>
          <w:lang w:val="en-GB"/>
        </w:rPr>
        <w:t xml:space="preserve"> tests</w:t>
      </w:r>
      <w:r>
        <w:rPr>
          <w:rFonts w:ascii="Times New Roman" w:hAnsi="Times New Roman" w:cs="Times New Roman"/>
          <w:kern w:val="0"/>
          <w:lang w:val="en-GB"/>
        </w:rPr>
        <w:t xml:space="preserve">, and we </w:t>
      </w:r>
      <w:r w:rsidRPr="00AE302A">
        <w:rPr>
          <w:rFonts w:ascii="Times New Roman" w:hAnsi="Times New Roman" w:cs="Times New Roman"/>
          <w:kern w:val="0"/>
          <w:lang w:val="en-GB"/>
        </w:rPr>
        <w:t xml:space="preserve">evaluated </w:t>
      </w:r>
      <w:r>
        <w:rPr>
          <w:rFonts w:ascii="Times New Roman" w:hAnsi="Times New Roman" w:cs="Times New Roman"/>
          <w:kern w:val="0"/>
        </w:rPr>
        <w:t>if</w:t>
      </w:r>
      <w:r w:rsidRPr="00F016EA">
        <w:rPr>
          <w:rFonts w:ascii="Times New Roman" w:hAnsi="Times New Roman" w:cs="Times New Roman"/>
          <w:kern w:val="0"/>
        </w:rPr>
        <w:t xml:space="preserve"> the instrument</w:t>
      </w:r>
      <w:r>
        <w:rPr>
          <w:rFonts w:ascii="Times New Roman" w:hAnsi="Times New Roman" w:cs="Times New Roman"/>
          <w:kern w:val="0"/>
        </w:rPr>
        <w:t>s</w:t>
      </w:r>
      <w:r w:rsidRPr="00F016EA">
        <w:rPr>
          <w:rFonts w:ascii="Times New Roman" w:hAnsi="Times New Roman" w:cs="Times New Roman"/>
          <w:kern w:val="0"/>
        </w:rPr>
        <w:t xml:space="preserve"> </w:t>
      </w:r>
      <w:r>
        <w:rPr>
          <w:rFonts w:ascii="Times New Roman" w:hAnsi="Times New Roman" w:cs="Times New Roman"/>
          <w:kern w:val="0"/>
        </w:rPr>
        <w:t>are</w:t>
      </w:r>
      <w:r w:rsidRPr="00F016EA">
        <w:rPr>
          <w:rFonts w:ascii="Times New Roman" w:hAnsi="Times New Roman" w:cs="Times New Roman"/>
          <w:kern w:val="0"/>
        </w:rPr>
        <w:t xml:space="preserve"> sufficiently strong</w:t>
      </w:r>
      <w:r>
        <w:rPr>
          <w:rFonts w:ascii="Times New Roman" w:hAnsi="Times New Roman" w:cs="Times New Roman"/>
          <w:kern w:val="0"/>
        </w:rPr>
        <w:t xml:space="preserve"> </w:t>
      </w:r>
      <w:r w:rsidRPr="00AE302A">
        <w:rPr>
          <w:rFonts w:ascii="Times New Roman" w:hAnsi="Times New Roman" w:cs="Times New Roman"/>
          <w:kern w:val="0"/>
          <w:lang w:val="en-GB"/>
        </w:rPr>
        <w:t xml:space="preserve">for each first stage regression, addressing concerns about potential weak instrument bias. These statistics, </w:t>
      </w:r>
      <w:r>
        <w:rPr>
          <w:rFonts w:ascii="Times New Roman" w:hAnsi="Times New Roman" w:cs="Times New Roman"/>
          <w:kern w:val="0"/>
          <w:lang w:val="en-GB"/>
        </w:rPr>
        <w:t xml:space="preserve">reported in Table 2, led us to reject the </w:t>
      </w:r>
      <w:r w:rsidRPr="00ED3E0A">
        <w:rPr>
          <w:rFonts w:ascii="Times New Roman" w:hAnsi="Times New Roman" w:cs="Times New Roman"/>
          <w:kern w:val="0"/>
          <w:lang w:val="en-GB"/>
        </w:rPr>
        <w:t>hypothesis</w:t>
      </w:r>
      <w:r>
        <w:rPr>
          <w:rFonts w:ascii="Times New Roman" w:hAnsi="Times New Roman" w:cs="Times New Roman"/>
          <w:kern w:val="0"/>
          <w:lang w:val="en-GB"/>
        </w:rPr>
        <w:t xml:space="preserve"> that instruments are not valid and/or week (since F first stage statistics </w:t>
      </w:r>
      <w:r w:rsidRPr="00AE302A">
        <w:rPr>
          <w:rFonts w:ascii="Times New Roman" w:hAnsi="Times New Roman" w:cs="Times New Roman"/>
          <w:kern w:val="0"/>
          <w:lang w:val="en-GB"/>
        </w:rPr>
        <w:t>consistently exceed conventional thresholds for instrument strength</w:t>
      </w:r>
      <w:r>
        <w:rPr>
          <w:rFonts w:ascii="Times New Roman" w:hAnsi="Times New Roman" w:cs="Times New Roman"/>
          <w:kern w:val="0"/>
          <w:lang w:val="en-GB"/>
        </w:rPr>
        <w:t>).</w:t>
      </w:r>
      <w:r w:rsidR="007E6C79">
        <w:rPr>
          <w:rFonts w:ascii="Times New Roman" w:hAnsi="Times New Roman" w:cs="Times New Roman"/>
          <w:kern w:val="0"/>
          <w:lang w:val="en-GB"/>
        </w:rPr>
        <w:t xml:space="preserve"> </w:t>
      </w:r>
      <w:r w:rsidR="007E6C79">
        <w:rPr>
          <w:rFonts w:ascii="Times New Roman" w:hAnsi="Times New Roman" w:cs="Times New Roman"/>
        </w:rPr>
        <w:t>Moreover, d</w:t>
      </w:r>
      <w:r w:rsidR="007E6C79" w:rsidRPr="00C00F92">
        <w:rPr>
          <w:rFonts w:ascii="Times New Roman" w:hAnsi="Times New Roman" w:cs="Times New Roman"/>
        </w:rPr>
        <w:t>ynamic panel data models estimated via GMM are susceptible to weak instrument problems. Even when under</w:t>
      </w:r>
      <w:r w:rsidR="007E6C79">
        <w:rPr>
          <w:rFonts w:ascii="Times New Roman" w:hAnsi="Times New Roman" w:cs="Times New Roman"/>
        </w:rPr>
        <w:t xml:space="preserve"> </w:t>
      </w:r>
      <w:r w:rsidR="007E6C79" w:rsidRPr="00C00F92">
        <w:rPr>
          <w:rFonts w:ascii="Times New Roman" w:hAnsi="Times New Roman" w:cs="Times New Roman"/>
        </w:rPr>
        <w:t>identification can be avoided, this does not necessarily imply the presence of strong instruments (</w:t>
      </w:r>
      <w:proofErr w:type="spellStart"/>
      <w:r w:rsidR="007E6C79" w:rsidRPr="00C00F92">
        <w:rPr>
          <w:rFonts w:ascii="Times New Roman" w:hAnsi="Times New Roman" w:cs="Times New Roman"/>
        </w:rPr>
        <w:t>Windmeijer</w:t>
      </w:r>
      <w:proofErr w:type="spellEnd"/>
      <w:r w:rsidR="007E6C79" w:rsidRPr="00C00F92">
        <w:rPr>
          <w:rFonts w:ascii="Times New Roman" w:hAnsi="Times New Roman" w:cs="Times New Roman"/>
        </w:rPr>
        <w:t>, 2024). For this reason, we performed the Sanderson–</w:t>
      </w:r>
      <w:proofErr w:type="spellStart"/>
      <w:r w:rsidR="007E6C79" w:rsidRPr="00C00F92">
        <w:rPr>
          <w:rFonts w:ascii="Times New Roman" w:hAnsi="Times New Roman" w:cs="Times New Roman"/>
        </w:rPr>
        <w:t>Windmeijer</w:t>
      </w:r>
      <w:proofErr w:type="spellEnd"/>
      <w:r w:rsidR="007E6C79" w:rsidRPr="00C00F92">
        <w:rPr>
          <w:rFonts w:ascii="Times New Roman" w:hAnsi="Times New Roman" w:cs="Times New Roman"/>
        </w:rPr>
        <w:t xml:space="preserve"> conditional under</w:t>
      </w:r>
      <w:r w:rsidR="007E6C79">
        <w:rPr>
          <w:rFonts w:ascii="Times New Roman" w:hAnsi="Times New Roman" w:cs="Times New Roman"/>
        </w:rPr>
        <w:t xml:space="preserve"> </w:t>
      </w:r>
      <w:r w:rsidR="007E6C79" w:rsidRPr="00C00F92">
        <w:rPr>
          <w:rFonts w:ascii="Times New Roman" w:hAnsi="Times New Roman" w:cs="Times New Roman"/>
        </w:rPr>
        <w:t xml:space="preserve">identification test to assess the strength of the first-stage instruments in the presence of fixed effects and multiple endogenous variables (Sanderson and </w:t>
      </w:r>
      <w:proofErr w:type="spellStart"/>
      <w:r w:rsidR="007E6C79" w:rsidRPr="00C00F92">
        <w:rPr>
          <w:rFonts w:ascii="Times New Roman" w:hAnsi="Times New Roman" w:cs="Times New Roman"/>
        </w:rPr>
        <w:t>Windmeijer</w:t>
      </w:r>
      <w:proofErr w:type="spellEnd"/>
      <w:r w:rsidR="007E6C79" w:rsidRPr="00C00F92">
        <w:rPr>
          <w:rFonts w:ascii="Times New Roman" w:hAnsi="Times New Roman" w:cs="Times New Roman"/>
        </w:rPr>
        <w:t>, 2016). The test statistics provide evidence to reject the null hypothesis that the instruments are weak</w:t>
      </w:r>
      <w:r w:rsidR="007E6C79">
        <w:rPr>
          <w:rFonts w:ascii="Times New Roman" w:hAnsi="Times New Roman" w:cs="Times New Roman"/>
        </w:rPr>
        <w:t xml:space="preserve">. </w:t>
      </w:r>
      <w:r w:rsidR="007E6C79" w:rsidRPr="00BC3C10">
        <w:rPr>
          <w:rFonts w:ascii="Times New Roman" w:hAnsi="Times New Roman" w:cs="Times New Roman"/>
        </w:rPr>
        <w:t>The high conditional F-statistics obtained from the Sanderson–</w:t>
      </w:r>
      <w:proofErr w:type="spellStart"/>
      <w:r w:rsidR="007E6C79" w:rsidRPr="00BC3C10">
        <w:rPr>
          <w:rFonts w:ascii="Times New Roman" w:hAnsi="Times New Roman" w:cs="Times New Roman"/>
        </w:rPr>
        <w:t>Windmeijer</w:t>
      </w:r>
      <w:proofErr w:type="spellEnd"/>
      <w:r w:rsidR="007E6C79" w:rsidRPr="00BC3C10">
        <w:rPr>
          <w:rFonts w:ascii="Times New Roman" w:hAnsi="Times New Roman" w:cs="Times New Roman"/>
        </w:rPr>
        <w:t xml:space="preserve"> tests for each dynamic specification </w:t>
      </w:r>
      <w:r w:rsidR="007E6C79">
        <w:rPr>
          <w:rFonts w:ascii="Times New Roman" w:hAnsi="Times New Roman" w:cs="Times New Roman"/>
        </w:rPr>
        <w:t xml:space="preserve">are </w:t>
      </w:r>
      <w:r w:rsidR="007E6C79" w:rsidRPr="00BC3C10">
        <w:rPr>
          <w:rFonts w:ascii="Times New Roman" w:hAnsi="Times New Roman" w:cs="Times New Roman"/>
        </w:rPr>
        <w:t>all above 10</w:t>
      </w:r>
      <w:r w:rsidR="007E6C79">
        <w:rPr>
          <w:rFonts w:ascii="Times New Roman" w:hAnsi="Times New Roman" w:cs="Times New Roman"/>
        </w:rPr>
        <w:t>,</w:t>
      </w:r>
      <w:r w:rsidR="007E6C79" w:rsidRPr="00BC3C10">
        <w:rPr>
          <w:rFonts w:ascii="Times New Roman" w:hAnsi="Times New Roman" w:cs="Times New Roman"/>
        </w:rPr>
        <w:t xml:space="preserve"> confirm</w:t>
      </w:r>
      <w:r w:rsidR="007E6C79">
        <w:rPr>
          <w:rFonts w:ascii="Times New Roman" w:hAnsi="Times New Roman" w:cs="Times New Roman"/>
        </w:rPr>
        <w:t>ing</w:t>
      </w:r>
      <w:r w:rsidR="007E6C79" w:rsidRPr="00BC3C10">
        <w:rPr>
          <w:rFonts w:ascii="Times New Roman" w:hAnsi="Times New Roman" w:cs="Times New Roman"/>
        </w:rPr>
        <w:t xml:space="preserve"> the robustness and validity of the instruments.</w:t>
      </w:r>
    </w:p>
  </w:footnote>
  <w:footnote w:id="13">
    <w:p w14:paraId="338917B1" w14:textId="1FB85278" w:rsidR="00EC0993" w:rsidRPr="00EC0993" w:rsidRDefault="00EC0993">
      <w:pPr>
        <w:pStyle w:val="Testonotaapidipagina"/>
        <w:rPr>
          <w:rFonts w:ascii="Times New Roman" w:hAnsi="Times New Roman" w:cs="Times New Roman"/>
          <w:b/>
          <w:bCs/>
          <w:sz w:val="18"/>
          <w:szCs w:val="18"/>
          <w:lang w:val="en-GB"/>
        </w:rPr>
      </w:pPr>
      <w:r w:rsidRPr="00EC0993">
        <w:rPr>
          <w:rStyle w:val="Rimandonotaapidipagina"/>
          <w:rFonts w:ascii="Times New Roman" w:hAnsi="Times New Roman" w:cs="Times New Roman"/>
        </w:rPr>
        <w:footnoteRef/>
      </w:r>
      <w:r w:rsidRPr="00EC0993">
        <w:rPr>
          <w:rFonts w:ascii="Times New Roman" w:hAnsi="Times New Roman" w:cs="Times New Roman"/>
        </w:rPr>
        <w:t xml:space="preserve"> </w:t>
      </w:r>
      <w:r w:rsidRPr="00EC0993">
        <w:rPr>
          <w:rStyle w:val="Enfasigrassetto"/>
          <w:rFonts w:ascii="Times New Roman" w:hAnsi="Times New Roman" w:cs="Times New Roman"/>
          <w:b w:val="0"/>
          <w:bCs w:val="0"/>
          <w:i/>
          <w:iCs/>
          <w:color w:val="0A0A0A"/>
          <w:sz w:val="18"/>
          <w:szCs w:val="18"/>
          <w:shd w:val="clear" w:color="auto" w:fill="FFFFFF"/>
        </w:rPr>
        <w:t>RTA1026</w:t>
      </w:r>
      <w:r w:rsidRPr="00EC0993">
        <w:rPr>
          <w:rStyle w:val="Enfasigrassetto"/>
          <w:rFonts w:ascii="Times New Roman" w:hAnsi="Times New Roman" w:cs="Times New Roman"/>
          <w:b w:val="0"/>
          <w:bCs w:val="0"/>
          <w:color w:val="0A0A0A"/>
          <w:sz w:val="18"/>
          <w:szCs w:val="18"/>
          <w:shd w:val="clear" w:color="auto" w:fill="FFFFFF"/>
        </w:rPr>
        <w:t xml:space="preserve"> is not included in these estimations because of the limited number of available observations from developing countries for this variable.</w:t>
      </w:r>
    </w:p>
  </w:footnote>
  <w:footnote w:id="14">
    <w:p w14:paraId="797D5EC6" w14:textId="77777777" w:rsidR="006344F9" w:rsidRPr="000777F0" w:rsidRDefault="00000000" w:rsidP="006344F9">
      <w:pPr>
        <w:pStyle w:val="Testonotaapidipagina"/>
        <w:rPr>
          <w:rFonts w:ascii="Times New Roman" w:hAnsi="Times New Roman" w:cs="Times New Roman"/>
          <w:sz w:val="18"/>
          <w:szCs w:val="18"/>
        </w:rPr>
      </w:pPr>
      <w:r w:rsidRPr="008E5830">
        <w:rPr>
          <w:rStyle w:val="Rimandonotaapidipagina"/>
          <w:rFonts w:ascii="Times New Roman" w:hAnsi="Times New Roman" w:cs="Times New Roman"/>
          <w:sz w:val="18"/>
          <w:szCs w:val="18"/>
        </w:rPr>
        <w:footnoteRef/>
      </w:r>
      <w:r w:rsidRPr="008E5830">
        <w:rPr>
          <w:rFonts w:ascii="Times New Roman" w:hAnsi="Times New Roman" w:cs="Times New Roman"/>
          <w:sz w:val="18"/>
          <w:szCs w:val="18"/>
        </w:rPr>
        <w:t xml:space="preserve"> </w:t>
      </w:r>
      <w:r>
        <w:rPr>
          <w:rFonts w:ascii="Times New Roman" w:hAnsi="Times New Roman" w:cs="Times New Roman"/>
          <w:sz w:val="18"/>
          <w:szCs w:val="18"/>
        </w:rPr>
        <w:t xml:space="preserve"> </w:t>
      </w:r>
      <w:r w:rsidRPr="000777F0">
        <w:rPr>
          <w:rFonts w:ascii="Times New Roman" w:hAnsi="Times New Roman" w:cs="Times New Roman"/>
          <w:kern w:val="0"/>
          <w:sz w:val="18"/>
          <w:szCs w:val="18"/>
          <w:lang w:val="en-GB"/>
        </w:rPr>
        <w:t xml:space="preserve">The first sample includes 76 developing countries and the other 66 developed countries. </w:t>
      </w:r>
      <w:r w:rsidRPr="000777F0">
        <w:rPr>
          <w:rFonts w:ascii="Times New Roman" w:hAnsi="Times New Roman" w:cs="Times New Roman"/>
          <w:sz w:val="18"/>
          <w:szCs w:val="18"/>
        </w:rPr>
        <w:t>Following the World Bank classification distinguishing the economies in four income groups, ‘developed’ countries are those included in high and upper-middle income groups, while ‘developing’ countries are in the low and lower-middle income groups.</w:t>
      </w:r>
    </w:p>
  </w:footnote>
  <w:footnote w:id="15">
    <w:p w14:paraId="3B86BDBF" w14:textId="095942E5" w:rsidR="009D2A44" w:rsidRPr="000F4909" w:rsidRDefault="00000000">
      <w:pPr>
        <w:pStyle w:val="Testonotaapidipagina"/>
      </w:pPr>
      <w:r w:rsidRPr="00EC0993">
        <w:rPr>
          <w:rStyle w:val="Rimandonotaapidipagina"/>
          <w:rFonts w:ascii="Times New Roman" w:hAnsi="Times New Roman" w:cs="Times New Roman"/>
        </w:rPr>
        <w:footnoteRef/>
      </w:r>
      <w:r>
        <w:t xml:space="preserve"> </w:t>
      </w:r>
      <w:r w:rsidRPr="009D2A44">
        <w:rPr>
          <w:rFonts w:ascii="Times New Roman" w:hAnsi="Times New Roman" w:cs="Times New Roman"/>
          <w:kern w:val="0"/>
          <w:sz w:val="18"/>
          <w:szCs w:val="18"/>
          <w:lang w:val="en-GB"/>
        </w:rPr>
        <w:t xml:space="preserve">We also check whether our findings are driven by the EU countries, by adding the EU dummy in our estimations. As shown </w:t>
      </w:r>
      <w:r w:rsidR="006C3457">
        <w:rPr>
          <w:rFonts w:ascii="Times New Roman" w:hAnsi="Times New Roman" w:cs="Times New Roman"/>
          <w:kern w:val="0"/>
          <w:sz w:val="18"/>
          <w:szCs w:val="18"/>
          <w:lang w:val="en-GB"/>
        </w:rPr>
        <w:t>by</w:t>
      </w:r>
      <w:r w:rsidRPr="009D2A44">
        <w:rPr>
          <w:rFonts w:ascii="Times New Roman" w:hAnsi="Times New Roman" w:cs="Times New Roman"/>
          <w:kern w:val="0"/>
          <w:sz w:val="18"/>
          <w:szCs w:val="18"/>
          <w:lang w:val="en-GB"/>
        </w:rPr>
        <w:t xml:space="preserve"> Table A4 in the Appendix, </w:t>
      </w:r>
      <w:r w:rsidR="006C3457">
        <w:rPr>
          <w:rFonts w:ascii="Times New Roman" w:hAnsi="Times New Roman" w:cs="Times New Roman"/>
          <w:kern w:val="0"/>
          <w:sz w:val="18"/>
          <w:szCs w:val="18"/>
          <w:lang w:val="en-GB"/>
        </w:rPr>
        <w:t>the</w:t>
      </w:r>
      <w:r w:rsidRPr="009D2A44">
        <w:rPr>
          <w:rFonts w:ascii="Times New Roman" w:hAnsi="Times New Roman" w:cs="Times New Roman"/>
          <w:kern w:val="0"/>
          <w:sz w:val="18"/>
          <w:szCs w:val="18"/>
          <w:lang w:val="en-GB"/>
        </w:rPr>
        <w:t xml:space="preserve"> main findings </w:t>
      </w:r>
      <w:r w:rsidR="006C3457">
        <w:rPr>
          <w:rFonts w:ascii="Times New Roman" w:hAnsi="Times New Roman" w:cs="Times New Roman"/>
          <w:kern w:val="0"/>
          <w:sz w:val="18"/>
          <w:szCs w:val="18"/>
          <w:lang w:val="en-GB"/>
        </w:rPr>
        <w:t>are confirmed</w:t>
      </w:r>
      <w:r>
        <w:rPr>
          <w:rFonts w:ascii="Times New Roman" w:hAnsi="Times New Roman" w:cs="Times New Roman"/>
          <w:kern w:val="0"/>
          <w:lang w:val="en-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14031A" w14:textId="77777777" w:rsidR="005F2D53" w:rsidRDefault="005F2D53">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FEFE2CE"/>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382A90"/>
    <w:multiLevelType w:val="hybridMultilevel"/>
    <w:tmpl w:val="BA6071E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79C2BCD"/>
    <w:multiLevelType w:val="hybridMultilevel"/>
    <w:tmpl w:val="34343648"/>
    <w:lvl w:ilvl="0" w:tplc="C4962934">
      <w:start w:val="1"/>
      <w:numFmt w:val="bullet"/>
      <w:lvlText w:val="•"/>
      <w:lvlJc w:val="left"/>
      <w:pPr>
        <w:tabs>
          <w:tab w:val="num" w:pos="720"/>
        </w:tabs>
        <w:ind w:left="720" w:hanging="360"/>
      </w:pPr>
      <w:rPr>
        <w:rFonts w:ascii="Arial" w:hAnsi="Arial" w:hint="default"/>
      </w:rPr>
    </w:lvl>
    <w:lvl w:ilvl="1" w:tplc="12FA7324">
      <w:start w:val="1"/>
      <w:numFmt w:val="bullet"/>
      <w:lvlText w:val="•"/>
      <w:lvlJc w:val="left"/>
      <w:pPr>
        <w:tabs>
          <w:tab w:val="num" w:pos="1440"/>
        </w:tabs>
        <w:ind w:left="1440" w:hanging="360"/>
      </w:pPr>
      <w:rPr>
        <w:rFonts w:ascii="Arial" w:hAnsi="Arial" w:hint="default"/>
      </w:rPr>
    </w:lvl>
    <w:lvl w:ilvl="2" w:tplc="AD22A0A4">
      <w:start w:val="1"/>
      <w:numFmt w:val="bullet"/>
      <w:lvlText w:val="•"/>
      <w:lvlJc w:val="left"/>
      <w:pPr>
        <w:tabs>
          <w:tab w:val="num" w:pos="2160"/>
        </w:tabs>
        <w:ind w:left="2160" w:hanging="360"/>
      </w:pPr>
      <w:rPr>
        <w:rFonts w:ascii="Arial" w:hAnsi="Arial" w:hint="default"/>
      </w:rPr>
    </w:lvl>
    <w:lvl w:ilvl="3" w:tplc="57F6F106" w:tentative="1">
      <w:start w:val="1"/>
      <w:numFmt w:val="bullet"/>
      <w:lvlText w:val="•"/>
      <w:lvlJc w:val="left"/>
      <w:pPr>
        <w:tabs>
          <w:tab w:val="num" w:pos="2880"/>
        </w:tabs>
        <w:ind w:left="2880" w:hanging="360"/>
      </w:pPr>
      <w:rPr>
        <w:rFonts w:ascii="Arial" w:hAnsi="Arial" w:hint="default"/>
      </w:rPr>
    </w:lvl>
    <w:lvl w:ilvl="4" w:tplc="19BA4D84" w:tentative="1">
      <w:start w:val="1"/>
      <w:numFmt w:val="bullet"/>
      <w:lvlText w:val="•"/>
      <w:lvlJc w:val="left"/>
      <w:pPr>
        <w:tabs>
          <w:tab w:val="num" w:pos="3600"/>
        </w:tabs>
        <w:ind w:left="3600" w:hanging="360"/>
      </w:pPr>
      <w:rPr>
        <w:rFonts w:ascii="Arial" w:hAnsi="Arial" w:hint="default"/>
      </w:rPr>
    </w:lvl>
    <w:lvl w:ilvl="5" w:tplc="36A01A74" w:tentative="1">
      <w:start w:val="1"/>
      <w:numFmt w:val="bullet"/>
      <w:lvlText w:val="•"/>
      <w:lvlJc w:val="left"/>
      <w:pPr>
        <w:tabs>
          <w:tab w:val="num" w:pos="4320"/>
        </w:tabs>
        <w:ind w:left="4320" w:hanging="360"/>
      </w:pPr>
      <w:rPr>
        <w:rFonts w:ascii="Arial" w:hAnsi="Arial" w:hint="default"/>
      </w:rPr>
    </w:lvl>
    <w:lvl w:ilvl="6" w:tplc="4B6279F0" w:tentative="1">
      <w:start w:val="1"/>
      <w:numFmt w:val="bullet"/>
      <w:lvlText w:val="•"/>
      <w:lvlJc w:val="left"/>
      <w:pPr>
        <w:tabs>
          <w:tab w:val="num" w:pos="5040"/>
        </w:tabs>
        <w:ind w:left="5040" w:hanging="360"/>
      </w:pPr>
      <w:rPr>
        <w:rFonts w:ascii="Arial" w:hAnsi="Arial" w:hint="default"/>
      </w:rPr>
    </w:lvl>
    <w:lvl w:ilvl="7" w:tplc="932C6BE6" w:tentative="1">
      <w:start w:val="1"/>
      <w:numFmt w:val="bullet"/>
      <w:lvlText w:val="•"/>
      <w:lvlJc w:val="left"/>
      <w:pPr>
        <w:tabs>
          <w:tab w:val="num" w:pos="5760"/>
        </w:tabs>
        <w:ind w:left="5760" w:hanging="360"/>
      </w:pPr>
      <w:rPr>
        <w:rFonts w:ascii="Arial" w:hAnsi="Arial" w:hint="default"/>
      </w:rPr>
    </w:lvl>
    <w:lvl w:ilvl="8" w:tplc="F418F57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A4F2D3B"/>
    <w:multiLevelType w:val="hybridMultilevel"/>
    <w:tmpl w:val="07E2D436"/>
    <w:lvl w:ilvl="0" w:tplc="040C0005">
      <w:start w:val="1"/>
      <w:numFmt w:val="bullet"/>
      <w:lvlText w:val=""/>
      <w:lvlJc w:val="left"/>
      <w:pPr>
        <w:ind w:left="360" w:hanging="360"/>
      </w:pPr>
      <w:rPr>
        <w:rFonts w:ascii="Wingdings" w:hAnsi="Wingdings" w:hint="default"/>
      </w:rPr>
    </w:lvl>
    <w:lvl w:ilvl="1" w:tplc="040C0005">
      <w:start w:val="1"/>
      <w:numFmt w:val="bullet"/>
      <w:lvlText w:val=""/>
      <w:lvlJc w:val="left"/>
      <w:pPr>
        <w:ind w:left="1080" w:hanging="360"/>
      </w:pPr>
      <w:rPr>
        <w:rFonts w:ascii="Wingdings" w:hAnsi="Wingdings"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15:restartNumberingAfterBreak="0">
    <w:nsid w:val="0D2902E1"/>
    <w:multiLevelType w:val="multilevel"/>
    <w:tmpl w:val="2B2EE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516CC5"/>
    <w:multiLevelType w:val="hybridMultilevel"/>
    <w:tmpl w:val="22D4A51C"/>
    <w:lvl w:ilvl="0" w:tplc="A6D47B24">
      <w:start w:val="1"/>
      <w:numFmt w:val="bullet"/>
      <w:lvlText w:val="•"/>
      <w:lvlJc w:val="left"/>
      <w:pPr>
        <w:tabs>
          <w:tab w:val="num" w:pos="720"/>
        </w:tabs>
        <w:ind w:left="720" w:hanging="360"/>
      </w:pPr>
      <w:rPr>
        <w:rFonts w:ascii="Arial" w:hAnsi="Arial" w:hint="default"/>
      </w:rPr>
    </w:lvl>
    <w:lvl w:ilvl="1" w:tplc="B61C03D8" w:tentative="1">
      <w:start w:val="1"/>
      <w:numFmt w:val="bullet"/>
      <w:lvlText w:val="•"/>
      <w:lvlJc w:val="left"/>
      <w:pPr>
        <w:tabs>
          <w:tab w:val="num" w:pos="1440"/>
        </w:tabs>
        <w:ind w:left="1440" w:hanging="360"/>
      </w:pPr>
      <w:rPr>
        <w:rFonts w:ascii="Arial" w:hAnsi="Arial" w:hint="default"/>
      </w:rPr>
    </w:lvl>
    <w:lvl w:ilvl="2" w:tplc="E800D100" w:tentative="1">
      <w:start w:val="1"/>
      <w:numFmt w:val="bullet"/>
      <w:lvlText w:val="•"/>
      <w:lvlJc w:val="left"/>
      <w:pPr>
        <w:tabs>
          <w:tab w:val="num" w:pos="2160"/>
        </w:tabs>
        <w:ind w:left="2160" w:hanging="360"/>
      </w:pPr>
      <w:rPr>
        <w:rFonts w:ascii="Arial" w:hAnsi="Arial" w:hint="default"/>
      </w:rPr>
    </w:lvl>
    <w:lvl w:ilvl="3" w:tplc="99F25B30" w:tentative="1">
      <w:start w:val="1"/>
      <w:numFmt w:val="bullet"/>
      <w:lvlText w:val="•"/>
      <w:lvlJc w:val="left"/>
      <w:pPr>
        <w:tabs>
          <w:tab w:val="num" w:pos="2880"/>
        </w:tabs>
        <w:ind w:left="2880" w:hanging="360"/>
      </w:pPr>
      <w:rPr>
        <w:rFonts w:ascii="Arial" w:hAnsi="Arial" w:hint="default"/>
      </w:rPr>
    </w:lvl>
    <w:lvl w:ilvl="4" w:tplc="B49085BA" w:tentative="1">
      <w:start w:val="1"/>
      <w:numFmt w:val="bullet"/>
      <w:lvlText w:val="•"/>
      <w:lvlJc w:val="left"/>
      <w:pPr>
        <w:tabs>
          <w:tab w:val="num" w:pos="3600"/>
        </w:tabs>
        <w:ind w:left="3600" w:hanging="360"/>
      </w:pPr>
      <w:rPr>
        <w:rFonts w:ascii="Arial" w:hAnsi="Arial" w:hint="default"/>
      </w:rPr>
    </w:lvl>
    <w:lvl w:ilvl="5" w:tplc="D794EFF6" w:tentative="1">
      <w:start w:val="1"/>
      <w:numFmt w:val="bullet"/>
      <w:lvlText w:val="•"/>
      <w:lvlJc w:val="left"/>
      <w:pPr>
        <w:tabs>
          <w:tab w:val="num" w:pos="4320"/>
        </w:tabs>
        <w:ind w:left="4320" w:hanging="360"/>
      </w:pPr>
      <w:rPr>
        <w:rFonts w:ascii="Arial" w:hAnsi="Arial" w:hint="default"/>
      </w:rPr>
    </w:lvl>
    <w:lvl w:ilvl="6" w:tplc="452AD384" w:tentative="1">
      <w:start w:val="1"/>
      <w:numFmt w:val="bullet"/>
      <w:lvlText w:val="•"/>
      <w:lvlJc w:val="left"/>
      <w:pPr>
        <w:tabs>
          <w:tab w:val="num" w:pos="5040"/>
        </w:tabs>
        <w:ind w:left="5040" w:hanging="360"/>
      </w:pPr>
      <w:rPr>
        <w:rFonts w:ascii="Arial" w:hAnsi="Arial" w:hint="default"/>
      </w:rPr>
    </w:lvl>
    <w:lvl w:ilvl="7" w:tplc="0D3E83E4" w:tentative="1">
      <w:start w:val="1"/>
      <w:numFmt w:val="bullet"/>
      <w:lvlText w:val="•"/>
      <w:lvlJc w:val="left"/>
      <w:pPr>
        <w:tabs>
          <w:tab w:val="num" w:pos="5760"/>
        </w:tabs>
        <w:ind w:left="5760" w:hanging="360"/>
      </w:pPr>
      <w:rPr>
        <w:rFonts w:ascii="Arial" w:hAnsi="Arial" w:hint="default"/>
      </w:rPr>
    </w:lvl>
    <w:lvl w:ilvl="8" w:tplc="5380B14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08710D1"/>
    <w:multiLevelType w:val="hybridMultilevel"/>
    <w:tmpl w:val="9C064024"/>
    <w:lvl w:ilvl="0" w:tplc="12E05C34">
      <w:start w:val="1"/>
      <w:numFmt w:val="bullet"/>
      <w:lvlText w:val="•"/>
      <w:lvlJc w:val="left"/>
      <w:pPr>
        <w:tabs>
          <w:tab w:val="num" w:pos="720"/>
        </w:tabs>
        <w:ind w:left="720" w:hanging="360"/>
      </w:pPr>
      <w:rPr>
        <w:rFonts w:ascii="Arial" w:hAnsi="Arial" w:hint="default"/>
      </w:rPr>
    </w:lvl>
    <w:lvl w:ilvl="1" w:tplc="89D406E4">
      <w:numFmt w:val="bullet"/>
      <w:lvlText w:val="•"/>
      <w:lvlJc w:val="left"/>
      <w:pPr>
        <w:tabs>
          <w:tab w:val="num" w:pos="1440"/>
        </w:tabs>
        <w:ind w:left="1440" w:hanging="360"/>
      </w:pPr>
      <w:rPr>
        <w:rFonts w:ascii="Arial" w:hAnsi="Arial" w:hint="default"/>
      </w:rPr>
    </w:lvl>
    <w:lvl w:ilvl="2" w:tplc="C83C2B14" w:tentative="1">
      <w:start w:val="1"/>
      <w:numFmt w:val="bullet"/>
      <w:lvlText w:val="•"/>
      <w:lvlJc w:val="left"/>
      <w:pPr>
        <w:tabs>
          <w:tab w:val="num" w:pos="2160"/>
        </w:tabs>
        <w:ind w:left="2160" w:hanging="360"/>
      </w:pPr>
      <w:rPr>
        <w:rFonts w:ascii="Arial" w:hAnsi="Arial" w:hint="default"/>
      </w:rPr>
    </w:lvl>
    <w:lvl w:ilvl="3" w:tplc="1048FAA2" w:tentative="1">
      <w:start w:val="1"/>
      <w:numFmt w:val="bullet"/>
      <w:lvlText w:val="•"/>
      <w:lvlJc w:val="left"/>
      <w:pPr>
        <w:tabs>
          <w:tab w:val="num" w:pos="2880"/>
        </w:tabs>
        <w:ind w:left="2880" w:hanging="360"/>
      </w:pPr>
      <w:rPr>
        <w:rFonts w:ascii="Arial" w:hAnsi="Arial" w:hint="default"/>
      </w:rPr>
    </w:lvl>
    <w:lvl w:ilvl="4" w:tplc="DEE6CC90" w:tentative="1">
      <w:start w:val="1"/>
      <w:numFmt w:val="bullet"/>
      <w:lvlText w:val="•"/>
      <w:lvlJc w:val="left"/>
      <w:pPr>
        <w:tabs>
          <w:tab w:val="num" w:pos="3600"/>
        </w:tabs>
        <w:ind w:left="3600" w:hanging="360"/>
      </w:pPr>
      <w:rPr>
        <w:rFonts w:ascii="Arial" w:hAnsi="Arial" w:hint="default"/>
      </w:rPr>
    </w:lvl>
    <w:lvl w:ilvl="5" w:tplc="375650E4" w:tentative="1">
      <w:start w:val="1"/>
      <w:numFmt w:val="bullet"/>
      <w:lvlText w:val="•"/>
      <w:lvlJc w:val="left"/>
      <w:pPr>
        <w:tabs>
          <w:tab w:val="num" w:pos="4320"/>
        </w:tabs>
        <w:ind w:left="4320" w:hanging="360"/>
      </w:pPr>
      <w:rPr>
        <w:rFonts w:ascii="Arial" w:hAnsi="Arial" w:hint="default"/>
      </w:rPr>
    </w:lvl>
    <w:lvl w:ilvl="6" w:tplc="8EF26450" w:tentative="1">
      <w:start w:val="1"/>
      <w:numFmt w:val="bullet"/>
      <w:lvlText w:val="•"/>
      <w:lvlJc w:val="left"/>
      <w:pPr>
        <w:tabs>
          <w:tab w:val="num" w:pos="5040"/>
        </w:tabs>
        <w:ind w:left="5040" w:hanging="360"/>
      </w:pPr>
      <w:rPr>
        <w:rFonts w:ascii="Arial" w:hAnsi="Arial" w:hint="default"/>
      </w:rPr>
    </w:lvl>
    <w:lvl w:ilvl="7" w:tplc="E2A45230" w:tentative="1">
      <w:start w:val="1"/>
      <w:numFmt w:val="bullet"/>
      <w:lvlText w:val="•"/>
      <w:lvlJc w:val="left"/>
      <w:pPr>
        <w:tabs>
          <w:tab w:val="num" w:pos="5760"/>
        </w:tabs>
        <w:ind w:left="5760" w:hanging="360"/>
      </w:pPr>
      <w:rPr>
        <w:rFonts w:ascii="Arial" w:hAnsi="Arial" w:hint="default"/>
      </w:rPr>
    </w:lvl>
    <w:lvl w:ilvl="8" w:tplc="7A3E179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0A355B8"/>
    <w:multiLevelType w:val="multilevel"/>
    <w:tmpl w:val="8A904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EA3630"/>
    <w:multiLevelType w:val="hybridMultilevel"/>
    <w:tmpl w:val="CF1639D0"/>
    <w:lvl w:ilvl="0" w:tplc="E2601506">
      <w:start w:val="1"/>
      <w:numFmt w:val="decimal"/>
      <w:lvlText w:val="%1."/>
      <w:lvlJc w:val="left"/>
      <w:pPr>
        <w:ind w:left="720" w:hanging="360"/>
      </w:pPr>
      <w:rPr>
        <w:rFonts w:hint="default"/>
        <w:b/>
      </w:rPr>
    </w:lvl>
    <w:lvl w:ilvl="1" w:tplc="F7B0BEF2" w:tentative="1">
      <w:start w:val="1"/>
      <w:numFmt w:val="lowerLetter"/>
      <w:lvlText w:val="%2."/>
      <w:lvlJc w:val="left"/>
      <w:pPr>
        <w:ind w:left="1440" w:hanging="360"/>
      </w:pPr>
    </w:lvl>
    <w:lvl w:ilvl="2" w:tplc="D45A2CD2" w:tentative="1">
      <w:start w:val="1"/>
      <w:numFmt w:val="lowerRoman"/>
      <w:lvlText w:val="%3."/>
      <w:lvlJc w:val="right"/>
      <w:pPr>
        <w:ind w:left="2160" w:hanging="180"/>
      </w:pPr>
    </w:lvl>
    <w:lvl w:ilvl="3" w:tplc="FDE249CA" w:tentative="1">
      <w:start w:val="1"/>
      <w:numFmt w:val="decimal"/>
      <w:lvlText w:val="%4."/>
      <w:lvlJc w:val="left"/>
      <w:pPr>
        <w:ind w:left="2880" w:hanging="360"/>
      </w:pPr>
    </w:lvl>
    <w:lvl w:ilvl="4" w:tplc="5ADAF4F0" w:tentative="1">
      <w:start w:val="1"/>
      <w:numFmt w:val="lowerLetter"/>
      <w:lvlText w:val="%5."/>
      <w:lvlJc w:val="left"/>
      <w:pPr>
        <w:ind w:left="3600" w:hanging="360"/>
      </w:pPr>
    </w:lvl>
    <w:lvl w:ilvl="5" w:tplc="4A62031A" w:tentative="1">
      <w:start w:val="1"/>
      <w:numFmt w:val="lowerRoman"/>
      <w:lvlText w:val="%6."/>
      <w:lvlJc w:val="right"/>
      <w:pPr>
        <w:ind w:left="4320" w:hanging="180"/>
      </w:pPr>
    </w:lvl>
    <w:lvl w:ilvl="6" w:tplc="73B6AEF6" w:tentative="1">
      <w:start w:val="1"/>
      <w:numFmt w:val="decimal"/>
      <w:lvlText w:val="%7."/>
      <w:lvlJc w:val="left"/>
      <w:pPr>
        <w:ind w:left="5040" w:hanging="360"/>
      </w:pPr>
    </w:lvl>
    <w:lvl w:ilvl="7" w:tplc="AC361548" w:tentative="1">
      <w:start w:val="1"/>
      <w:numFmt w:val="lowerLetter"/>
      <w:lvlText w:val="%8."/>
      <w:lvlJc w:val="left"/>
      <w:pPr>
        <w:ind w:left="5760" w:hanging="360"/>
      </w:pPr>
    </w:lvl>
    <w:lvl w:ilvl="8" w:tplc="B8E6DC48" w:tentative="1">
      <w:start w:val="1"/>
      <w:numFmt w:val="lowerRoman"/>
      <w:lvlText w:val="%9."/>
      <w:lvlJc w:val="right"/>
      <w:pPr>
        <w:ind w:left="6480" w:hanging="180"/>
      </w:pPr>
    </w:lvl>
  </w:abstractNum>
  <w:abstractNum w:abstractNumId="9" w15:restartNumberingAfterBreak="0">
    <w:nsid w:val="2DEC7726"/>
    <w:multiLevelType w:val="multilevel"/>
    <w:tmpl w:val="17A213E8"/>
    <w:lvl w:ilvl="0">
      <w:start w:val="1"/>
      <w:numFmt w:val="decimal"/>
      <w:lvlText w:val="%1."/>
      <w:lvlJc w:val="left"/>
      <w:pPr>
        <w:ind w:left="720" w:hanging="360"/>
      </w:pPr>
      <w:rPr>
        <w:rFonts w:hint="default"/>
      </w:rPr>
    </w:lvl>
    <w:lvl w:ilvl="1">
      <w:start w:val="3"/>
      <w:numFmt w:val="decimal"/>
      <w:isLgl/>
      <w:lvlText w:val="%1.%2"/>
      <w:lvlJc w:val="left"/>
      <w:pPr>
        <w:ind w:left="644" w:hanging="360"/>
      </w:pPr>
      <w:rPr>
        <w:rFonts w:hint="default"/>
        <w:i w:val="0"/>
      </w:rPr>
    </w:lvl>
    <w:lvl w:ilvl="2">
      <w:start w:val="1"/>
      <w:numFmt w:val="decimal"/>
      <w:isLgl/>
      <w:lvlText w:val="%1.%2.%3"/>
      <w:lvlJc w:val="left"/>
      <w:pPr>
        <w:ind w:left="1080" w:hanging="720"/>
      </w:pPr>
      <w:rPr>
        <w:rFonts w:hint="default"/>
        <w:i w:val="0"/>
      </w:rPr>
    </w:lvl>
    <w:lvl w:ilvl="3">
      <w:start w:val="1"/>
      <w:numFmt w:val="decimal"/>
      <w:isLgl/>
      <w:lvlText w:val="%1.%2.%3.%4"/>
      <w:lvlJc w:val="left"/>
      <w:pPr>
        <w:ind w:left="1080"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10" w15:restartNumberingAfterBreak="0">
    <w:nsid w:val="4257479B"/>
    <w:multiLevelType w:val="hybridMultilevel"/>
    <w:tmpl w:val="17D0FB9E"/>
    <w:lvl w:ilvl="0" w:tplc="1C04253A">
      <w:start w:val="1"/>
      <w:numFmt w:val="decimal"/>
      <w:lvlText w:val="%1."/>
      <w:lvlJc w:val="left"/>
      <w:pPr>
        <w:ind w:left="360" w:hanging="360"/>
      </w:pPr>
      <w:rPr>
        <w:rFonts w:hint="default"/>
      </w:rPr>
    </w:lvl>
    <w:lvl w:ilvl="1" w:tplc="6CE64E58">
      <w:start w:val="1"/>
      <w:numFmt w:val="decimal"/>
      <w:pStyle w:val="norme"/>
      <w:lvlText w:val="%2."/>
      <w:lvlJc w:val="left"/>
      <w:pPr>
        <w:ind w:left="1080" w:hanging="360"/>
      </w:pPr>
    </w:lvl>
    <w:lvl w:ilvl="2" w:tplc="0B42457C">
      <w:start w:val="1"/>
      <w:numFmt w:val="lowerRoman"/>
      <w:pStyle w:val="sousnorme"/>
      <w:lvlText w:val="%3."/>
      <w:lvlJc w:val="right"/>
      <w:pPr>
        <w:ind w:left="1800" w:hanging="180"/>
      </w:pPr>
    </w:lvl>
    <w:lvl w:ilvl="3" w:tplc="FCC6DCFE" w:tentative="1">
      <w:start w:val="1"/>
      <w:numFmt w:val="decimal"/>
      <w:lvlText w:val="%4."/>
      <w:lvlJc w:val="left"/>
      <w:pPr>
        <w:ind w:left="2520" w:hanging="360"/>
      </w:pPr>
    </w:lvl>
    <w:lvl w:ilvl="4" w:tplc="ADE6F1DE" w:tentative="1">
      <w:start w:val="1"/>
      <w:numFmt w:val="lowerLetter"/>
      <w:lvlText w:val="%5."/>
      <w:lvlJc w:val="left"/>
      <w:pPr>
        <w:ind w:left="3240" w:hanging="360"/>
      </w:pPr>
    </w:lvl>
    <w:lvl w:ilvl="5" w:tplc="7A020B34" w:tentative="1">
      <w:start w:val="1"/>
      <w:numFmt w:val="lowerRoman"/>
      <w:lvlText w:val="%6."/>
      <w:lvlJc w:val="right"/>
      <w:pPr>
        <w:ind w:left="3960" w:hanging="180"/>
      </w:pPr>
    </w:lvl>
    <w:lvl w:ilvl="6" w:tplc="3FE80390" w:tentative="1">
      <w:start w:val="1"/>
      <w:numFmt w:val="decimal"/>
      <w:lvlText w:val="%7."/>
      <w:lvlJc w:val="left"/>
      <w:pPr>
        <w:ind w:left="4680" w:hanging="360"/>
      </w:pPr>
    </w:lvl>
    <w:lvl w:ilvl="7" w:tplc="F574F70C" w:tentative="1">
      <w:start w:val="1"/>
      <w:numFmt w:val="lowerLetter"/>
      <w:lvlText w:val="%8."/>
      <w:lvlJc w:val="left"/>
      <w:pPr>
        <w:ind w:left="5400" w:hanging="360"/>
      </w:pPr>
    </w:lvl>
    <w:lvl w:ilvl="8" w:tplc="530694C8" w:tentative="1">
      <w:start w:val="1"/>
      <w:numFmt w:val="lowerRoman"/>
      <w:lvlText w:val="%9."/>
      <w:lvlJc w:val="right"/>
      <w:pPr>
        <w:ind w:left="6120" w:hanging="180"/>
      </w:pPr>
    </w:lvl>
  </w:abstractNum>
  <w:abstractNum w:abstractNumId="11" w15:restartNumberingAfterBreak="0">
    <w:nsid w:val="4A950B2B"/>
    <w:multiLevelType w:val="hybridMultilevel"/>
    <w:tmpl w:val="26BC5612"/>
    <w:lvl w:ilvl="0" w:tplc="8AB836AC">
      <w:start w:val="1"/>
      <w:numFmt w:val="bullet"/>
      <w:lvlText w:val="•"/>
      <w:lvlJc w:val="left"/>
      <w:pPr>
        <w:tabs>
          <w:tab w:val="num" w:pos="720"/>
        </w:tabs>
        <w:ind w:left="720" w:hanging="360"/>
      </w:pPr>
      <w:rPr>
        <w:rFonts w:ascii="Arial" w:hAnsi="Arial" w:hint="default"/>
      </w:rPr>
    </w:lvl>
    <w:lvl w:ilvl="1" w:tplc="B9FC7834">
      <w:numFmt w:val="bullet"/>
      <w:lvlText w:val="•"/>
      <w:lvlJc w:val="left"/>
      <w:pPr>
        <w:tabs>
          <w:tab w:val="num" w:pos="1440"/>
        </w:tabs>
        <w:ind w:left="1440" w:hanging="360"/>
      </w:pPr>
      <w:rPr>
        <w:rFonts w:ascii="Arial" w:hAnsi="Arial" w:hint="default"/>
      </w:rPr>
    </w:lvl>
    <w:lvl w:ilvl="2" w:tplc="06ECFCD2">
      <w:numFmt w:val="bullet"/>
      <w:lvlText w:val="•"/>
      <w:lvlJc w:val="left"/>
      <w:pPr>
        <w:tabs>
          <w:tab w:val="num" w:pos="2160"/>
        </w:tabs>
        <w:ind w:left="2160" w:hanging="360"/>
      </w:pPr>
      <w:rPr>
        <w:rFonts w:ascii="Arial" w:hAnsi="Arial" w:hint="default"/>
      </w:rPr>
    </w:lvl>
    <w:lvl w:ilvl="3" w:tplc="C4EC0992" w:tentative="1">
      <w:start w:val="1"/>
      <w:numFmt w:val="bullet"/>
      <w:lvlText w:val="•"/>
      <w:lvlJc w:val="left"/>
      <w:pPr>
        <w:tabs>
          <w:tab w:val="num" w:pos="2880"/>
        </w:tabs>
        <w:ind w:left="2880" w:hanging="360"/>
      </w:pPr>
      <w:rPr>
        <w:rFonts w:ascii="Arial" w:hAnsi="Arial" w:hint="default"/>
      </w:rPr>
    </w:lvl>
    <w:lvl w:ilvl="4" w:tplc="85360B38" w:tentative="1">
      <w:start w:val="1"/>
      <w:numFmt w:val="bullet"/>
      <w:lvlText w:val="•"/>
      <w:lvlJc w:val="left"/>
      <w:pPr>
        <w:tabs>
          <w:tab w:val="num" w:pos="3600"/>
        </w:tabs>
        <w:ind w:left="3600" w:hanging="360"/>
      </w:pPr>
      <w:rPr>
        <w:rFonts w:ascii="Arial" w:hAnsi="Arial" w:hint="default"/>
      </w:rPr>
    </w:lvl>
    <w:lvl w:ilvl="5" w:tplc="BF023DA8" w:tentative="1">
      <w:start w:val="1"/>
      <w:numFmt w:val="bullet"/>
      <w:lvlText w:val="•"/>
      <w:lvlJc w:val="left"/>
      <w:pPr>
        <w:tabs>
          <w:tab w:val="num" w:pos="4320"/>
        </w:tabs>
        <w:ind w:left="4320" w:hanging="360"/>
      </w:pPr>
      <w:rPr>
        <w:rFonts w:ascii="Arial" w:hAnsi="Arial" w:hint="default"/>
      </w:rPr>
    </w:lvl>
    <w:lvl w:ilvl="6" w:tplc="C008A05E" w:tentative="1">
      <w:start w:val="1"/>
      <w:numFmt w:val="bullet"/>
      <w:lvlText w:val="•"/>
      <w:lvlJc w:val="left"/>
      <w:pPr>
        <w:tabs>
          <w:tab w:val="num" w:pos="5040"/>
        </w:tabs>
        <w:ind w:left="5040" w:hanging="360"/>
      </w:pPr>
      <w:rPr>
        <w:rFonts w:ascii="Arial" w:hAnsi="Arial" w:hint="default"/>
      </w:rPr>
    </w:lvl>
    <w:lvl w:ilvl="7" w:tplc="E0887D08" w:tentative="1">
      <w:start w:val="1"/>
      <w:numFmt w:val="bullet"/>
      <w:lvlText w:val="•"/>
      <w:lvlJc w:val="left"/>
      <w:pPr>
        <w:tabs>
          <w:tab w:val="num" w:pos="5760"/>
        </w:tabs>
        <w:ind w:left="5760" w:hanging="360"/>
      </w:pPr>
      <w:rPr>
        <w:rFonts w:ascii="Arial" w:hAnsi="Arial" w:hint="default"/>
      </w:rPr>
    </w:lvl>
    <w:lvl w:ilvl="8" w:tplc="203E765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42E2E82"/>
    <w:multiLevelType w:val="hybridMultilevel"/>
    <w:tmpl w:val="D8C6B81C"/>
    <w:lvl w:ilvl="0" w:tplc="B854E5F0">
      <w:start w:val="1"/>
      <w:numFmt w:val="bullet"/>
      <w:lvlText w:val="•"/>
      <w:lvlJc w:val="left"/>
      <w:pPr>
        <w:tabs>
          <w:tab w:val="num" w:pos="720"/>
        </w:tabs>
        <w:ind w:left="720" w:hanging="360"/>
      </w:pPr>
      <w:rPr>
        <w:rFonts w:ascii="Arial" w:hAnsi="Arial" w:hint="default"/>
      </w:rPr>
    </w:lvl>
    <w:lvl w:ilvl="1" w:tplc="BFF835C6" w:tentative="1">
      <w:start w:val="1"/>
      <w:numFmt w:val="bullet"/>
      <w:lvlText w:val="•"/>
      <w:lvlJc w:val="left"/>
      <w:pPr>
        <w:tabs>
          <w:tab w:val="num" w:pos="1440"/>
        </w:tabs>
        <w:ind w:left="1440" w:hanging="360"/>
      </w:pPr>
      <w:rPr>
        <w:rFonts w:ascii="Arial" w:hAnsi="Arial" w:hint="default"/>
      </w:rPr>
    </w:lvl>
    <w:lvl w:ilvl="2" w:tplc="7C7E6926" w:tentative="1">
      <w:start w:val="1"/>
      <w:numFmt w:val="bullet"/>
      <w:lvlText w:val="•"/>
      <w:lvlJc w:val="left"/>
      <w:pPr>
        <w:tabs>
          <w:tab w:val="num" w:pos="2160"/>
        </w:tabs>
        <w:ind w:left="2160" w:hanging="360"/>
      </w:pPr>
      <w:rPr>
        <w:rFonts w:ascii="Arial" w:hAnsi="Arial" w:hint="default"/>
      </w:rPr>
    </w:lvl>
    <w:lvl w:ilvl="3" w:tplc="5E00A03A" w:tentative="1">
      <w:start w:val="1"/>
      <w:numFmt w:val="bullet"/>
      <w:lvlText w:val="•"/>
      <w:lvlJc w:val="left"/>
      <w:pPr>
        <w:tabs>
          <w:tab w:val="num" w:pos="2880"/>
        </w:tabs>
        <w:ind w:left="2880" w:hanging="360"/>
      </w:pPr>
      <w:rPr>
        <w:rFonts w:ascii="Arial" w:hAnsi="Arial" w:hint="default"/>
      </w:rPr>
    </w:lvl>
    <w:lvl w:ilvl="4" w:tplc="7092057C" w:tentative="1">
      <w:start w:val="1"/>
      <w:numFmt w:val="bullet"/>
      <w:lvlText w:val="•"/>
      <w:lvlJc w:val="left"/>
      <w:pPr>
        <w:tabs>
          <w:tab w:val="num" w:pos="3600"/>
        </w:tabs>
        <w:ind w:left="3600" w:hanging="360"/>
      </w:pPr>
      <w:rPr>
        <w:rFonts w:ascii="Arial" w:hAnsi="Arial" w:hint="default"/>
      </w:rPr>
    </w:lvl>
    <w:lvl w:ilvl="5" w:tplc="D0828D74" w:tentative="1">
      <w:start w:val="1"/>
      <w:numFmt w:val="bullet"/>
      <w:lvlText w:val="•"/>
      <w:lvlJc w:val="left"/>
      <w:pPr>
        <w:tabs>
          <w:tab w:val="num" w:pos="4320"/>
        </w:tabs>
        <w:ind w:left="4320" w:hanging="360"/>
      </w:pPr>
      <w:rPr>
        <w:rFonts w:ascii="Arial" w:hAnsi="Arial" w:hint="default"/>
      </w:rPr>
    </w:lvl>
    <w:lvl w:ilvl="6" w:tplc="16A6513E" w:tentative="1">
      <w:start w:val="1"/>
      <w:numFmt w:val="bullet"/>
      <w:lvlText w:val="•"/>
      <w:lvlJc w:val="left"/>
      <w:pPr>
        <w:tabs>
          <w:tab w:val="num" w:pos="5040"/>
        </w:tabs>
        <w:ind w:left="5040" w:hanging="360"/>
      </w:pPr>
      <w:rPr>
        <w:rFonts w:ascii="Arial" w:hAnsi="Arial" w:hint="default"/>
      </w:rPr>
    </w:lvl>
    <w:lvl w:ilvl="7" w:tplc="142095FC" w:tentative="1">
      <w:start w:val="1"/>
      <w:numFmt w:val="bullet"/>
      <w:lvlText w:val="•"/>
      <w:lvlJc w:val="left"/>
      <w:pPr>
        <w:tabs>
          <w:tab w:val="num" w:pos="5760"/>
        </w:tabs>
        <w:ind w:left="5760" w:hanging="360"/>
      </w:pPr>
      <w:rPr>
        <w:rFonts w:ascii="Arial" w:hAnsi="Arial" w:hint="default"/>
      </w:rPr>
    </w:lvl>
    <w:lvl w:ilvl="8" w:tplc="5C0C8A9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27C067C"/>
    <w:multiLevelType w:val="multilevel"/>
    <w:tmpl w:val="DA3840DC"/>
    <w:lvl w:ilvl="0">
      <w:start w:val="1"/>
      <w:numFmt w:val="decimal"/>
      <w:pStyle w:val="textenorme"/>
      <w:lvlText w:val="%1."/>
      <w:lvlJc w:val="left"/>
      <w:pPr>
        <w:ind w:left="1069"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1571" w:hanging="720"/>
      </w:pPr>
      <w:rPr>
        <w:rFonts w:ascii="Times New Roman" w:hAnsi="Times New Roman" w:cs="Times New Roman"/>
        <w:b w:val="0"/>
        <w:bCs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429" w:hanging="720"/>
      </w:pPr>
      <w:rPr>
        <w:rFonts w:hint="default"/>
      </w:rPr>
    </w:lvl>
    <w:lvl w:ilvl="4">
      <w:start w:val="1"/>
      <w:numFmt w:val="decimal"/>
      <w:lvlText w:val="%1.%2.%3.%4.%5."/>
      <w:lvlJc w:val="left"/>
      <w:pPr>
        <w:ind w:left="1789" w:hanging="1080"/>
      </w:pPr>
      <w:rPr>
        <w:rFonts w:hint="default"/>
      </w:rPr>
    </w:lvl>
    <w:lvl w:ilvl="5">
      <w:start w:val="1"/>
      <w:numFmt w:val="decimal"/>
      <w:lvlText w:val="%1.%2.%3.%4.%5.%6."/>
      <w:lvlJc w:val="left"/>
      <w:pPr>
        <w:ind w:left="1789" w:hanging="1080"/>
      </w:pPr>
      <w:rPr>
        <w:rFonts w:hint="default"/>
      </w:rPr>
    </w:lvl>
    <w:lvl w:ilvl="6">
      <w:start w:val="1"/>
      <w:numFmt w:val="decimal"/>
      <w:lvlText w:val="%1.%2.%3.%4.%5.%6.%7."/>
      <w:lvlJc w:val="left"/>
      <w:pPr>
        <w:ind w:left="2149" w:hanging="1440"/>
      </w:pPr>
      <w:rPr>
        <w:rFonts w:hint="default"/>
      </w:rPr>
    </w:lvl>
    <w:lvl w:ilvl="7">
      <w:start w:val="1"/>
      <w:numFmt w:val="decimal"/>
      <w:lvlText w:val="%1.%2.%3.%4.%5.%6.%7.%8."/>
      <w:lvlJc w:val="left"/>
      <w:pPr>
        <w:ind w:left="2149" w:hanging="1440"/>
      </w:pPr>
      <w:rPr>
        <w:rFonts w:hint="default"/>
      </w:rPr>
    </w:lvl>
    <w:lvl w:ilvl="8">
      <w:start w:val="1"/>
      <w:numFmt w:val="decimal"/>
      <w:lvlText w:val="%1.%2.%3.%4.%5.%6.%7.%8.%9."/>
      <w:lvlJc w:val="left"/>
      <w:pPr>
        <w:ind w:left="2509" w:hanging="1800"/>
      </w:pPr>
      <w:rPr>
        <w:rFonts w:hint="default"/>
      </w:rPr>
    </w:lvl>
  </w:abstractNum>
  <w:abstractNum w:abstractNumId="14" w15:restartNumberingAfterBreak="0">
    <w:nsid w:val="69B64C0E"/>
    <w:multiLevelType w:val="hybridMultilevel"/>
    <w:tmpl w:val="12583DE6"/>
    <w:lvl w:ilvl="0" w:tplc="21CAC998">
      <w:start w:val="1"/>
      <w:numFmt w:val="bullet"/>
      <w:lvlText w:val="•"/>
      <w:lvlJc w:val="left"/>
      <w:pPr>
        <w:tabs>
          <w:tab w:val="num" w:pos="720"/>
        </w:tabs>
        <w:ind w:left="720" w:hanging="360"/>
      </w:pPr>
      <w:rPr>
        <w:rFonts w:ascii="Arial" w:hAnsi="Arial" w:hint="default"/>
      </w:rPr>
    </w:lvl>
    <w:lvl w:ilvl="1" w:tplc="50484F9A">
      <w:numFmt w:val="bullet"/>
      <w:lvlText w:val="•"/>
      <w:lvlJc w:val="left"/>
      <w:pPr>
        <w:tabs>
          <w:tab w:val="num" w:pos="1440"/>
        </w:tabs>
        <w:ind w:left="1440" w:hanging="360"/>
      </w:pPr>
      <w:rPr>
        <w:rFonts w:ascii="Arial" w:hAnsi="Arial" w:hint="default"/>
      </w:rPr>
    </w:lvl>
    <w:lvl w:ilvl="2" w:tplc="1854B4E0" w:tentative="1">
      <w:start w:val="1"/>
      <w:numFmt w:val="bullet"/>
      <w:lvlText w:val="•"/>
      <w:lvlJc w:val="left"/>
      <w:pPr>
        <w:tabs>
          <w:tab w:val="num" w:pos="2160"/>
        </w:tabs>
        <w:ind w:left="2160" w:hanging="360"/>
      </w:pPr>
      <w:rPr>
        <w:rFonts w:ascii="Arial" w:hAnsi="Arial" w:hint="default"/>
      </w:rPr>
    </w:lvl>
    <w:lvl w:ilvl="3" w:tplc="76646CD4" w:tentative="1">
      <w:start w:val="1"/>
      <w:numFmt w:val="bullet"/>
      <w:lvlText w:val="•"/>
      <w:lvlJc w:val="left"/>
      <w:pPr>
        <w:tabs>
          <w:tab w:val="num" w:pos="2880"/>
        </w:tabs>
        <w:ind w:left="2880" w:hanging="360"/>
      </w:pPr>
      <w:rPr>
        <w:rFonts w:ascii="Arial" w:hAnsi="Arial" w:hint="default"/>
      </w:rPr>
    </w:lvl>
    <w:lvl w:ilvl="4" w:tplc="9DEC0C58" w:tentative="1">
      <w:start w:val="1"/>
      <w:numFmt w:val="bullet"/>
      <w:lvlText w:val="•"/>
      <w:lvlJc w:val="left"/>
      <w:pPr>
        <w:tabs>
          <w:tab w:val="num" w:pos="3600"/>
        </w:tabs>
        <w:ind w:left="3600" w:hanging="360"/>
      </w:pPr>
      <w:rPr>
        <w:rFonts w:ascii="Arial" w:hAnsi="Arial" w:hint="default"/>
      </w:rPr>
    </w:lvl>
    <w:lvl w:ilvl="5" w:tplc="03D2D8C4" w:tentative="1">
      <w:start w:val="1"/>
      <w:numFmt w:val="bullet"/>
      <w:lvlText w:val="•"/>
      <w:lvlJc w:val="left"/>
      <w:pPr>
        <w:tabs>
          <w:tab w:val="num" w:pos="4320"/>
        </w:tabs>
        <w:ind w:left="4320" w:hanging="360"/>
      </w:pPr>
      <w:rPr>
        <w:rFonts w:ascii="Arial" w:hAnsi="Arial" w:hint="default"/>
      </w:rPr>
    </w:lvl>
    <w:lvl w:ilvl="6" w:tplc="5FCCAE12" w:tentative="1">
      <w:start w:val="1"/>
      <w:numFmt w:val="bullet"/>
      <w:lvlText w:val="•"/>
      <w:lvlJc w:val="left"/>
      <w:pPr>
        <w:tabs>
          <w:tab w:val="num" w:pos="5040"/>
        </w:tabs>
        <w:ind w:left="5040" w:hanging="360"/>
      </w:pPr>
      <w:rPr>
        <w:rFonts w:ascii="Arial" w:hAnsi="Arial" w:hint="default"/>
      </w:rPr>
    </w:lvl>
    <w:lvl w:ilvl="7" w:tplc="83DE5242" w:tentative="1">
      <w:start w:val="1"/>
      <w:numFmt w:val="bullet"/>
      <w:lvlText w:val="•"/>
      <w:lvlJc w:val="left"/>
      <w:pPr>
        <w:tabs>
          <w:tab w:val="num" w:pos="5760"/>
        </w:tabs>
        <w:ind w:left="5760" w:hanging="360"/>
      </w:pPr>
      <w:rPr>
        <w:rFonts w:ascii="Arial" w:hAnsi="Arial" w:hint="default"/>
      </w:rPr>
    </w:lvl>
    <w:lvl w:ilvl="8" w:tplc="48FC5EFC"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6B3F1F3B"/>
    <w:multiLevelType w:val="hybridMultilevel"/>
    <w:tmpl w:val="BCC44114"/>
    <w:lvl w:ilvl="0" w:tplc="0EC616E6">
      <w:start w:val="1"/>
      <w:numFmt w:val="bullet"/>
      <w:lvlText w:val="•"/>
      <w:lvlJc w:val="left"/>
      <w:pPr>
        <w:tabs>
          <w:tab w:val="num" w:pos="720"/>
        </w:tabs>
        <w:ind w:left="720" w:hanging="360"/>
      </w:pPr>
      <w:rPr>
        <w:rFonts w:ascii="Arial" w:hAnsi="Arial" w:hint="default"/>
      </w:rPr>
    </w:lvl>
    <w:lvl w:ilvl="1" w:tplc="E6ECA7DC" w:tentative="1">
      <w:start w:val="1"/>
      <w:numFmt w:val="bullet"/>
      <w:lvlText w:val="•"/>
      <w:lvlJc w:val="left"/>
      <w:pPr>
        <w:tabs>
          <w:tab w:val="num" w:pos="1440"/>
        </w:tabs>
        <w:ind w:left="1440" w:hanging="360"/>
      </w:pPr>
      <w:rPr>
        <w:rFonts w:ascii="Arial" w:hAnsi="Arial" w:hint="default"/>
      </w:rPr>
    </w:lvl>
    <w:lvl w:ilvl="2" w:tplc="34E22F9E" w:tentative="1">
      <w:start w:val="1"/>
      <w:numFmt w:val="bullet"/>
      <w:lvlText w:val="•"/>
      <w:lvlJc w:val="left"/>
      <w:pPr>
        <w:tabs>
          <w:tab w:val="num" w:pos="2160"/>
        </w:tabs>
        <w:ind w:left="2160" w:hanging="360"/>
      </w:pPr>
      <w:rPr>
        <w:rFonts w:ascii="Arial" w:hAnsi="Arial" w:hint="default"/>
      </w:rPr>
    </w:lvl>
    <w:lvl w:ilvl="3" w:tplc="258EFD9A" w:tentative="1">
      <w:start w:val="1"/>
      <w:numFmt w:val="bullet"/>
      <w:lvlText w:val="•"/>
      <w:lvlJc w:val="left"/>
      <w:pPr>
        <w:tabs>
          <w:tab w:val="num" w:pos="2880"/>
        </w:tabs>
        <w:ind w:left="2880" w:hanging="360"/>
      </w:pPr>
      <w:rPr>
        <w:rFonts w:ascii="Arial" w:hAnsi="Arial" w:hint="default"/>
      </w:rPr>
    </w:lvl>
    <w:lvl w:ilvl="4" w:tplc="C18A695C" w:tentative="1">
      <w:start w:val="1"/>
      <w:numFmt w:val="bullet"/>
      <w:lvlText w:val="•"/>
      <w:lvlJc w:val="left"/>
      <w:pPr>
        <w:tabs>
          <w:tab w:val="num" w:pos="3600"/>
        </w:tabs>
        <w:ind w:left="3600" w:hanging="360"/>
      </w:pPr>
      <w:rPr>
        <w:rFonts w:ascii="Arial" w:hAnsi="Arial" w:hint="default"/>
      </w:rPr>
    </w:lvl>
    <w:lvl w:ilvl="5" w:tplc="65222D02" w:tentative="1">
      <w:start w:val="1"/>
      <w:numFmt w:val="bullet"/>
      <w:lvlText w:val="•"/>
      <w:lvlJc w:val="left"/>
      <w:pPr>
        <w:tabs>
          <w:tab w:val="num" w:pos="4320"/>
        </w:tabs>
        <w:ind w:left="4320" w:hanging="360"/>
      </w:pPr>
      <w:rPr>
        <w:rFonts w:ascii="Arial" w:hAnsi="Arial" w:hint="default"/>
      </w:rPr>
    </w:lvl>
    <w:lvl w:ilvl="6" w:tplc="13F85FD6" w:tentative="1">
      <w:start w:val="1"/>
      <w:numFmt w:val="bullet"/>
      <w:lvlText w:val="•"/>
      <w:lvlJc w:val="left"/>
      <w:pPr>
        <w:tabs>
          <w:tab w:val="num" w:pos="5040"/>
        </w:tabs>
        <w:ind w:left="5040" w:hanging="360"/>
      </w:pPr>
      <w:rPr>
        <w:rFonts w:ascii="Arial" w:hAnsi="Arial" w:hint="default"/>
      </w:rPr>
    </w:lvl>
    <w:lvl w:ilvl="7" w:tplc="12489ADE" w:tentative="1">
      <w:start w:val="1"/>
      <w:numFmt w:val="bullet"/>
      <w:lvlText w:val="•"/>
      <w:lvlJc w:val="left"/>
      <w:pPr>
        <w:tabs>
          <w:tab w:val="num" w:pos="5760"/>
        </w:tabs>
        <w:ind w:left="5760" w:hanging="360"/>
      </w:pPr>
      <w:rPr>
        <w:rFonts w:ascii="Arial" w:hAnsi="Arial" w:hint="default"/>
      </w:rPr>
    </w:lvl>
    <w:lvl w:ilvl="8" w:tplc="D54EBDF0"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4F524C2"/>
    <w:multiLevelType w:val="multilevel"/>
    <w:tmpl w:val="BF001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BB80E6B"/>
    <w:multiLevelType w:val="hybridMultilevel"/>
    <w:tmpl w:val="8B06D87A"/>
    <w:lvl w:ilvl="0" w:tplc="531A63A8">
      <w:start w:val="1"/>
      <w:numFmt w:val="bullet"/>
      <w:lvlText w:val="•"/>
      <w:lvlJc w:val="left"/>
      <w:pPr>
        <w:tabs>
          <w:tab w:val="num" w:pos="720"/>
        </w:tabs>
        <w:ind w:left="720" w:hanging="360"/>
      </w:pPr>
      <w:rPr>
        <w:rFonts w:ascii="Arial" w:hAnsi="Arial" w:hint="default"/>
      </w:rPr>
    </w:lvl>
    <w:lvl w:ilvl="1" w:tplc="B1440AD8" w:tentative="1">
      <w:start w:val="1"/>
      <w:numFmt w:val="bullet"/>
      <w:lvlText w:val="•"/>
      <w:lvlJc w:val="left"/>
      <w:pPr>
        <w:tabs>
          <w:tab w:val="num" w:pos="1440"/>
        </w:tabs>
        <w:ind w:left="1440" w:hanging="360"/>
      </w:pPr>
      <w:rPr>
        <w:rFonts w:ascii="Arial" w:hAnsi="Arial" w:hint="default"/>
      </w:rPr>
    </w:lvl>
    <w:lvl w:ilvl="2" w:tplc="5D3E6A8A" w:tentative="1">
      <w:start w:val="1"/>
      <w:numFmt w:val="bullet"/>
      <w:lvlText w:val="•"/>
      <w:lvlJc w:val="left"/>
      <w:pPr>
        <w:tabs>
          <w:tab w:val="num" w:pos="2160"/>
        </w:tabs>
        <w:ind w:left="2160" w:hanging="360"/>
      </w:pPr>
      <w:rPr>
        <w:rFonts w:ascii="Arial" w:hAnsi="Arial" w:hint="default"/>
      </w:rPr>
    </w:lvl>
    <w:lvl w:ilvl="3" w:tplc="A52E71BA" w:tentative="1">
      <w:start w:val="1"/>
      <w:numFmt w:val="bullet"/>
      <w:lvlText w:val="•"/>
      <w:lvlJc w:val="left"/>
      <w:pPr>
        <w:tabs>
          <w:tab w:val="num" w:pos="2880"/>
        </w:tabs>
        <w:ind w:left="2880" w:hanging="360"/>
      </w:pPr>
      <w:rPr>
        <w:rFonts w:ascii="Arial" w:hAnsi="Arial" w:hint="default"/>
      </w:rPr>
    </w:lvl>
    <w:lvl w:ilvl="4" w:tplc="8A4E6266" w:tentative="1">
      <w:start w:val="1"/>
      <w:numFmt w:val="bullet"/>
      <w:lvlText w:val="•"/>
      <w:lvlJc w:val="left"/>
      <w:pPr>
        <w:tabs>
          <w:tab w:val="num" w:pos="3600"/>
        </w:tabs>
        <w:ind w:left="3600" w:hanging="360"/>
      </w:pPr>
      <w:rPr>
        <w:rFonts w:ascii="Arial" w:hAnsi="Arial" w:hint="default"/>
      </w:rPr>
    </w:lvl>
    <w:lvl w:ilvl="5" w:tplc="36CA351C" w:tentative="1">
      <w:start w:val="1"/>
      <w:numFmt w:val="bullet"/>
      <w:lvlText w:val="•"/>
      <w:lvlJc w:val="left"/>
      <w:pPr>
        <w:tabs>
          <w:tab w:val="num" w:pos="4320"/>
        </w:tabs>
        <w:ind w:left="4320" w:hanging="360"/>
      </w:pPr>
      <w:rPr>
        <w:rFonts w:ascii="Arial" w:hAnsi="Arial" w:hint="default"/>
      </w:rPr>
    </w:lvl>
    <w:lvl w:ilvl="6" w:tplc="02BC414A" w:tentative="1">
      <w:start w:val="1"/>
      <w:numFmt w:val="bullet"/>
      <w:lvlText w:val="•"/>
      <w:lvlJc w:val="left"/>
      <w:pPr>
        <w:tabs>
          <w:tab w:val="num" w:pos="5040"/>
        </w:tabs>
        <w:ind w:left="5040" w:hanging="360"/>
      </w:pPr>
      <w:rPr>
        <w:rFonts w:ascii="Arial" w:hAnsi="Arial" w:hint="default"/>
      </w:rPr>
    </w:lvl>
    <w:lvl w:ilvl="7" w:tplc="396E87BA" w:tentative="1">
      <w:start w:val="1"/>
      <w:numFmt w:val="bullet"/>
      <w:lvlText w:val="•"/>
      <w:lvlJc w:val="left"/>
      <w:pPr>
        <w:tabs>
          <w:tab w:val="num" w:pos="5760"/>
        </w:tabs>
        <w:ind w:left="5760" w:hanging="360"/>
      </w:pPr>
      <w:rPr>
        <w:rFonts w:ascii="Arial" w:hAnsi="Arial" w:hint="default"/>
      </w:rPr>
    </w:lvl>
    <w:lvl w:ilvl="8" w:tplc="52A87348" w:tentative="1">
      <w:start w:val="1"/>
      <w:numFmt w:val="bullet"/>
      <w:lvlText w:val="•"/>
      <w:lvlJc w:val="left"/>
      <w:pPr>
        <w:tabs>
          <w:tab w:val="num" w:pos="6480"/>
        </w:tabs>
        <w:ind w:left="6480" w:hanging="360"/>
      </w:pPr>
      <w:rPr>
        <w:rFonts w:ascii="Arial" w:hAnsi="Arial" w:hint="default"/>
      </w:rPr>
    </w:lvl>
  </w:abstractNum>
  <w:num w:numId="1" w16cid:durableId="673847891">
    <w:abstractNumId w:val="9"/>
  </w:num>
  <w:num w:numId="2" w16cid:durableId="1901089167">
    <w:abstractNumId w:val="10"/>
  </w:num>
  <w:num w:numId="3" w16cid:durableId="520321193">
    <w:abstractNumId w:val="8"/>
  </w:num>
  <w:num w:numId="4" w16cid:durableId="13381240">
    <w:abstractNumId w:val="4"/>
  </w:num>
  <w:num w:numId="5" w16cid:durableId="64225721">
    <w:abstractNumId w:val="7"/>
  </w:num>
  <w:num w:numId="6" w16cid:durableId="846289683">
    <w:abstractNumId w:val="14"/>
  </w:num>
  <w:num w:numId="7" w16cid:durableId="1363508550">
    <w:abstractNumId w:val="2"/>
  </w:num>
  <w:num w:numId="8" w16cid:durableId="1994991688">
    <w:abstractNumId w:val="6"/>
  </w:num>
  <w:num w:numId="9" w16cid:durableId="131796100">
    <w:abstractNumId w:val="11"/>
  </w:num>
  <w:num w:numId="10" w16cid:durableId="363285831">
    <w:abstractNumId w:val="17"/>
  </w:num>
  <w:num w:numId="11" w16cid:durableId="1017661938">
    <w:abstractNumId w:val="12"/>
  </w:num>
  <w:num w:numId="12" w16cid:durableId="591471618">
    <w:abstractNumId w:val="5"/>
  </w:num>
  <w:num w:numId="13" w16cid:durableId="503938520">
    <w:abstractNumId w:val="15"/>
  </w:num>
  <w:num w:numId="14" w16cid:durableId="1751930219">
    <w:abstractNumId w:val="13"/>
  </w:num>
  <w:num w:numId="15" w16cid:durableId="1002052657">
    <w:abstractNumId w:val="3"/>
  </w:num>
  <w:num w:numId="16" w16cid:durableId="41175554">
    <w:abstractNumId w:val="0"/>
  </w:num>
  <w:num w:numId="17" w16cid:durableId="1413896330">
    <w:abstractNumId w:val="1"/>
  </w:num>
  <w:num w:numId="18" w16cid:durableId="15839540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8"/>
  <w:proofState w:spelling="clean" w:grammar="clean"/>
  <w:defaultTabStop w:val="708"/>
  <w:hyphenationZone w:val="283"/>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1590"/>
    <w:rsid w:val="000035C2"/>
    <w:rsid w:val="0000362F"/>
    <w:rsid w:val="00011531"/>
    <w:rsid w:val="00013C67"/>
    <w:rsid w:val="00014053"/>
    <w:rsid w:val="00014064"/>
    <w:rsid w:val="000263F0"/>
    <w:rsid w:val="000316C1"/>
    <w:rsid w:val="00033EA1"/>
    <w:rsid w:val="00043727"/>
    <w:rsid w:val="00051DC7"/>
    <w:rsid w:val="000543BC"/>
    <w:rsid w:val="00054F3F"/>
    <w:rsid w:val="00057A86"/>
    <w:rsid w:val="00073017"/>
    <w:rsid w:val="0007374F"/>
    <w:rsid w:val="000758F1"/>
    <w:rsid w:val="00076715"/>
    <w:rsid w:val="000777F0"/>
    <w:rsid w:val="00083839"/>
    <w:rsid w:val="00085768"/>
    <w:rsid w:val="00096A53"/>
    <w:rsid w:val="000A4818"/>
    <w:rsid w:val="000A629A"/>
    <w:rsid w:val="000B3A7F"/>
    <w:rsid w:val="000B74AF"/>
    <w:rsid w:val="000C278E"/>
    <w:rsid w:val="000C5462"/>
    <w:rsid w:val="000C7A20"/>
    <w:rsid w:val="000D637C"/>
    <w:rsid w:val="000E37BF"/>
    <w:rsid w:val="000F4909"/>
    <w:rsid w:val="00107E7E"/>
    <w:rsid w:val="00117738"/>
    <w:rsid w:val="001231BD"/>
    <w:rsid w:val="00131BDF"/>
    <w:rsid w:val="00153E74"/>
    <w:rsid w:val="0016153D"/>
    <w:rsid w:val="00166601"/>
    <w:rsid w:val="0018161D"/>
    <w:rsid w:val="00183BE7"/>
    <w:rsid w:val="00196726"/>
    <w:rsid w:val="001A3BCA"/>
    <w:rsid w:val="001A4AC3"/>
    <w:rsid w:val="001B17BE"/>
    <w:rsid w:val="001B2764"/>
    <w:rsid w:val="001B29F8"/>
    <w:rsid w:val="001B30AF"/>
    <w:rsid w:val="001C0102"/>
    <w:rsid w:val="001C5FA6"/>
    <w:rsid w:val="001D5475"/>
    <w:rsid w:val="001D5A6B"/>
    <w:rsid w:val="001E142C"/>
    <w:rsid w:val="001E1523"/>
    <w:rsid w:val="001E611E"/>
    <w:rsid w:val="001F3056"/>
    <w:rsid w:val="001F62F1"/>
    <w:rsid w:val="00202226"/>
    <w:rsid w:val="002164C5"/>
    <w:rsid w:val="002228FF"/>
    <w:rsid w:val="00231AE3"/>
    <w:rsid w:val="00232E75"/>
    <w:rsid w:val="002342CE"/>
    <w:rsid w:val="00235C89"/>
    <w:rsid w:val="00245FF0"/>
    <w:rsid w:val="00247D0B"/>
    <w:rsid w:val="00255A89"/>
    <w:rsid w:val="00256096"/>
    <w:rsid w:val="0026177F"/>
    <w:rsid w:val="002650BA"/>
    <w:rsid w:val="00265385"/>
    <w:rsid w:val="00265EB1"/>
    <w:rsid w:val="00267ADC"/>
    <w:rsid w:val="00270C62"/>
    <w:rsid w:val="00270EB5"/>
    <w:rsid w:val="00272BEA"/>
    <w:rsid w:val="00275F5D"/>
    <w:rsid w:val="00286E99"/>
    <w:rsid w:val="002912C1"/>
    <w:rsid w:val="002912DE"/>
    <w:rsid w:val="0029179F"/>
    <w:rsid w:val="00292122"/>
    <w:rsid w:val="00295A4D"/>
    <w:rsid w:val="002A0FAE"/>
    <w:rsid w:val="002A3CBE"/>
    <w:rsid w:val="002A3D70"/>
    <w:rsid w:val="002A44BF"/>
    <w:rsid w:val="002A4E6B"/>
    <w:rsid w:val="002A5F10"/>
    <w:rsid w:val="002B02F8"/>
    <w:rsid w:val="002B0AB4"/>
    <w:rsid w:val="002B30E7"/>
    <w:rsid w:val="002D0BC9"/>
    <w:rsid w:val="002D5529"/>
    <w:rsid w:val="002E0FAB"/>
    <w:rsid w:val="002F1B6C"/>
    <w:rsid w:val="002F42AB"/>
    <w:rsid w:val="00300E2A"/>
    <w:rsid w:val="00303EEB"/>
    <w:rsid w:val="003042B8"/>
    <w:rsid w:val="00320434"/>
    <w:rsid w:val="00332509"/>
    <w:rsid w:val="00334066"/>
    <w:rsid w:val="0033735F"/>
    <w:rsid w:val="00340AD2"/>
    <w:rsid w:val="00346152"/>
    <w:rsid w:val="003518DE"/>
    <w:rsid w:val="003614BB"/>
    <w:rsid w:val="003640CB"/>
    <w:rsid w:val="003641E3"/>
    <w:rsid w:val="003746D1"/>
    <w:rsid w:val="003749EE"/>
    <w:rsid w:val="00374F6A"/>
    <w:rsid w:val="00374F92"/>
    <w:rsid w:val="00375BE5"/>
    <w:rsid w:val="00385CCB"/>
    <w:rsid w:val="003877A7"/>
    <w:rsid w:val="0039019C"/>
    <w:rsid w:val="0039062F"/>
    <w:rsid w:val="003A229A"/>
    <w:rsid w:val="003A3A78"/>
    <w:rsid w:val="003A4FDF"/>
    <w:rsid w:val="003A54AA"/>
    <w:rsid w:val="003A621F"/>
    <w:rsid w:val="003A6D49"/>
    <w:rsid w:val="003B21FC"/>
    <w:rsid w:val="003B54EC"/>
    <w:rsid w:val="003B5CEB"/>
    <w:rsid w:val="003B671A"/>
    <w:rsid w:val="003C0720"/>
    <w:rsid w:val="003C2F85"/>
    <w:rsid w:val="003D615F"/>
    <w:rsid w:val="003E03B2"/>
    <w:rsid w:val="003F029A"/>
    <w:rsid w:val="003F1E7A"/>
    <w:rsid w:val="003F77B2"/>
    <w:rsid w:val="00404E96"/>
    <w:rsid w:val="00410AC3"/>
    <w:rsid w:val="00424D4F"/>
    <w:rsid w:val="00425C0D"/>
    <w:rsid w:val="0042684B"/>
    <w:rsid w:val="0042745C"/>
    <w:rsid w:val="00433D2A"/>
    <w:rsid w:val="00437F0A"/>
    <w:rsid w:val="00442153"/>
    <w:rsid w:val="004466BD"/>
    <w:rsid w:val="004477ED"/>
    <w:rsid w:val="004518FA"/>
    <w:rsid w:val="00465912"/>
    <w:rsid w:val="0048086F"/>
    <w:rsid w:val="004976F8"/>
    <w:rsid w:val="004A425D"/>
    <w:rsid w:val="004A71B8"/>
    <w:rsid w:val="004B3F4E"/>
    <w:rsid w:val="004C02FB"/>
    <w:rsid w:val="004D3E8B"/>
    <w:rsid w:val="004E06C1"/>
    <w:rsid w:val="004E2E17"/>
    <w:rsid w:val="004E3540"/>
    <w:rsid w:val="004E3B5A"/>
    <w:rsid w:val="004E5638"/>
    <w:rsid w:val="00501BFA"/>
    <w:rsid w:val="00503493"/>
    <w:rsid w:val="00503E9D"/>
    <w:rsid w:val="00507769"/>
    <w:rsid w:val="0050783E"/>
    <w:rsid w:val="00516B69"/>
    <w:rsid w:val="00521596"/>
    <w:rsid w:val="00522F63"/>
    <w:rsid w:val="005233AE"/>
    <w:rsid w:val="00523AF4"/>
    <w:rsid w:val="00525084"/>
    <w:rsid w:val="0053574B"/>
    <w:rsid w:val="005420A2"/>
    <w:rsid w:val="00547938"/>
    <w:rsid w:val="005549B3"/>
    <w:rsid w:val="005651D9"/>
    <w:rsid w:val="00583496"/>
    <w:rsid w:val="00584928"/>
    <w:rsid w:val="00585CF3"/>
    <w:rsid w:val="00586BDB"/>
    <w:rsid w:val="00590913"/>
    <w:rsid w:val="00593769"/>
    <w:rsid w:val="005A0555"/>
    <w:rsid w:val="005A4C70"/>
    <w:rsid w:val="005B5C68"/>
    <w:rsid w:val="005C742B"/>
    <w:rsid w:val="005D244E"/>
    <w:rsid w:val="005D49FF"/>
    <w:rsid w:val="005E63C2"/>
    <w:rsid w:val="005E75A7"/>
    <w:rsid w:val="005F2D53"/>
    <w:rsid w:val="00606C0B"/>
    <w:rsid w:val="006158D9"/>
    <w:rsid w:val="00621D5F"/>
    <w:rsid w:val="00622CA3"/>
    <w:rsid w:val="006344F9"/>
    <w:rsid w:val="0063580E"/>
    <w:rsid w:val="0064243A"/>
    <w:rsid w:val="00642CC3"/>
    <w:rsid w:val="00646630"/>
    <w:rsid w:val="006504CE"/>
    <w:rsid w:val="00663248"/>
    <w:rsid w:val="00663B0D"/>
    <w:rsid w:val="00667454"/>
    <w:rsid w:val="0067039E"/>
    <w:rsid w:val="00670553"/>
    <w:rsid w:val="0068023A"/>
    <w:rsid w:val="00691613"/>
    <w:rsid w:val="00691EE9"/>
    <w:rsid w:val="006949D7"/>
    <w:rsid w:val="006A39FE"/>
    <w:rsid w:val="006A3CEF"/>
    <w:rsid w:val="006A3FA9"/>
    <w:rsid w:val="006A506E"/>
    <w:rsid w:val="006A6929"/>
    <w:rsid w:val="006B6F46"/>
    <w:rsid w:val="006C228D"/>
    <w:rsid w:val="006C3457"/>
    <w:rsid w:val="006C370A"/>
    <w:rsid w:val="006C728F"/>
    <w:rsid w:val="006D222A"/>
    <w:rsid w:val="006D6B38"/>
    <w:rsid w:val="006D7ACC"/>
    <w:rsid w:val="006E31F2"/>
    <w:rsid w:val="006E4DE2"/>
    <w:rsid w:val="006F0218"/>
    <w:rsid w:val="006F45FF"/>
    <w:rsid w:val="006F6931"/>
    <w:rsid w:val="00701602"/>
    <w:rsid w:val="007056A3"/>
    <w:rsid w:val="00711AFD"/>
    <w:rsid w:val="00715DB7"/>
    <w:rsid w:val="007224CF"/>
    <w:rsid w:val="0073190E"/>
    <w:rsid w:val="00733DC7"/>
    <w:rsid w:val="00740BA5"/>
    <w:rsid w:val="00740F51"/>
    <w:rsid w:val="00757743"/>
    <w:rsid w:val="00757F37"/>
    <w:rsid w:val="00763C12"/>
    <w:rsid w:val="00765279"/>
    <w:rsid w:val="00766E63"/>
    <w:rsid w:val="007708E0"/>
    <w:rsid w:val="00771645"/>
    <w:rsid w:val="007746F8"/>
    <w:rsid w:val="00780312"/>
    <w:rsid w:val="00793133"/>
    <w:rsid w:val="00796163"/>
    <w:rsid w:val="007A5FE6"/>
    <w:rsid w:val="007B56E0"/>
    <w:rsid w:val="007B76C4"/>
    <w:rsid w:val="007B76E7"/>
    <w:rsid w:val="007B7D4F"/>
    <w:rsid w:val="007E05EE"/>
    <w:rsid w:val="007E6C79"/>
    <w:rsid w:val="00804F9D"/>
    <w:rsid w:val="008100A6"/>
    <w:rsid w:val="008109DC"/>
    <w:rsid w:val="00813948"/>
    <w:rsid w:val="008220EF"/>
    <w:rsid w:val="008245D8"/>
    <w:rsid w:val="00840F25"/>
    <w:rsid w:val="00843209"/>
    <w:rsid w:val="00853723"/>
    <w:rsid w:val="0085395D"/>
    <w:rsid w:val="00854923"/>
    <w:rsid w:val="00862FEB"/>
    <w:rsid w:val="008636B1"/>
    <w:rsid w:val="008651B8"/>
    <w:rsid w:val="00872E89"/>
    <w:rsid w:val="008B794D"/>
    <w:rsid w:val="008C1533"/>
    <w:rsid w:val="008D0B3E"/>
    <w:rsid w:val="008D5E2A"/>
    <w:rsid w:val="008E5830"/>
    <w:rsid w:val="008F4227"/>
    <w:rsid w:val="008F7F39"/>
    <w:rsid w:val="00901E35"/>
    <w:rsid w:val="0090634B"/>
    <w:rsid w:val="00916367"/>
    <w:rsid w:val="00920183"/>
    <w:rsid w:val="009235E6"/>
    <w:rsid w:val="00924C58"/>
    <w:rsid w:val="009253C4"/>
    <w:rsid w:val="00925F28"/>
    <w:rsid w:val="009357D7"/>
    <w:rsid w:val="009410E8"/>
    <w:rsid w:val="0094761D"/>
    <w:rsid w:val="0095326B"/>
    <w:rsid w:val="009532AC"/>
    <w:rsid w:val="00955C92"/>
    <w:rsid w:val="00957B7B"/>
    <w:rsid w:val="00960EDB"/>
    <w:rsid w:val="00962F00"/>
    <w:rsid w:val="00971D3D"/>
    <w:rsid w:val="00987A5A"/>
    <w:rsid w:val="009A0630"/>
    <w:rsid w:val="009A5069"/>
    <w:rsid w:val="009B3077"/>
    <w:rsid w:val="009C2869"/>
    <w:rsid w:val="009D2A44"/>
    <w:rsid w:val="009E2F30"/>
    <w:rsid w:val="009E494B"/>
    <w:rsid w:val="009E5B7F"/>
    <w:rsid w:val="009F7F97"/>
    <w:rsid w:val="00A06F86"/>
    <w:rsid w:val="00A103E5"/>
    <w:rsid w:val="00A25961"/>
    <w:rsid w:val="00A338DF"/>
    <w:rsid w:val="00A35D1C"/>
    <w:rsid w:val="00A3713D"/>
    <w:rsid w:val="00A43CD7"/>
    <w:rsid w:val="00A533C5"/>
    <w:rsid w:val="00A53BF1"/>
    <w:rsid w:val="00A6099D"/>
    <w:rsid w:val="00A61E46"/>
    <w:rsid w:val="00A635B8"/>
    <w:rsid w:val="00A66C11"/>
    <w:rsid w:val="00A670D0"/>
    <w:rsid w:val="00A67E95"/>
    <w:rsid w:val="00A7062B"/>
    <w:rsid w:val="00A752C8"/>
    <w:rsid w:val="00A834D3"/>
    <w:rsid w:val="00A84808"/>
    <w:rsid w:val="00A87A2B"/>
    <w:rsid w:val="00A87C71"/>
    <w:rsid w:val="00A9297A"/>
    <w:rsid w:val="00A963C0"/>
    <w:rsid w:val="00AA66BC"/>
    <w:rsid w:val="00AA6C21"/>
    <w:rsid w:val="00AC3C76"/>
    <w:rsid w:val="00AC60EF"/>
    <w:rsid w:val="00AC7DA2"/>
    <w:rsid w:val="00AD280B"/>
    <w:rsid w:val="00AE302A"/>
    <w:rsid w:val="00AF07AC"/>
    <w:rsid w:val="00AF1E66"/>
    <w:rsid w:val="00AF6CA7"/>
    <w:rsid w:val="00B10B29"/>
    <w:rsid w:val="00B209C1"/>
    <w:rsid w:val="00B234A8"/>
    <w:rsid w:val="00B3767B"/>
    <w:rsid w:val="00B44041"/>
    <w:rsid w:val="00B5106C"/>
    <w:rsid w:val="00B63F94"/>
    <w:rsid w:val="00B87398"/>
    <w:rsid w:val="00B948B7"/>
    <w:rsid w:val="00B95DFC"/>
    <w:rsid w:val="00BA121D"/>
    <w:rsid w:val="00BC3C10"/>
    <w:rsid w:val="00BD0C49"/>
    <w:rsid w:val="00BD707B"/>
    <w:rsid w:val="00BE00B3"/>
    <w:rsid w:val="00BE3AD7"/>
    <w:rsid w:val="00BE6549"/>
    <w:rsid w:val="00BE7859"/>
    <w:rsid w:val="00BE7DAA"/>
    <w:rsid w:val="00BF0743"/>
    <w:rsid w:val="00BF75A2"/>
    <w:rsid w:val="00C0762B"/>
    <w:rsid w:val="00C2532A"/>
    <w:rsid w:val="00C31EBB"/>
    <w:rsid w:val="00C34F62"/>
    <w:rsid w:val="00C434E8"/>
    <w:rsid w:val="00C43EFF"/>
    <w:rsid w:val="00C4402E"/>
    <w:rsid w:val="00C45571"/>
    <w:rsid w:val="00C50905"/>
    <w:rsid w:val="00C55CC8"/>
    <w:rsid w:val="00C61DA1"/>
    <w:rsid w:val="00C663D8"/>
    <w:rsid w:val="00C70CA7"/>
    <w:rsid w:val="00C74B58"/>
    <w:rsid w:val="00C75402"/>
    <w:rsid w:val="00C8471B"/>
    <w:rsid w:val="00C957BD"/>
    <w:rsid w:val="00C968F1"/>
    <w:rsid w:val="00C96AB0"/>
    <w:rsid w:val="00CA2C12"/>
    <w:rsid w:val="00CA3A77"/>
    <w:rsid w:val="00CA6415"/>
    <w:rsid w:val="00CA6CBD"/>
    <w:rsid w:val="00CF044E"/>
    <w:rsid w:val="00CF5A98"/>
    <w:rsid w:val="00D04C94"/>
    <w:rsid w:val="00D1623C"/>
    <w:rsid w:val="00D20472"/>
    <w:rsid w:val="00D25FCE"/>
    <w:rsid w:val="00D325A5"/>
    <w:rsid w:val="00D344F0"/>
    <w:rsid w:val="00D37448"/>
    <w:rsid w:val="00D43AAC"/>
    <w:rsid w:val="00D46AA8"/>
    <w:rsid w:val="00D47014"/>
    <w:rsid w:val="00D52753"/>
    <w:rsid w:val="00D644BF"/>
    <w:rsid w:val="00D64706"/>
    <w:rsid w:val="00D658D8"/>
    <w:rsid w:val="00D71772"/>
    <w:rsid w:val="00D75218"/>
    <w:rsid w:val="00D754E1"/>
    <w:rsid w:val="00D7655C"/>
    <w:rsid w:val="00D90F88"/>
    <w:rsid w:val="00D92DD6"/>
    <w:rsid w:val="00D96654"/>
    <w:rsid w:val="00D96D8F"/>
    <w:rsid w:val="00DA6996"/>
    <w:rsid w:val="00DB38F6"/>
    <w:rsid w:val="00DC3CA8"/>
    <w:rsid w:val="00DD2CD5"/>
    <w:rsid w:val="00DD6D57"/>
    <w:rsid w:val="00DE0BCD"/>
    <w:rsid w:val="00DE640B"/>
    <w:rsid w:val="00DF2B6A"/>
    <w:rsid w:val="00DF38A3"/>
    <w:rsid w:val="00DF4C13"/>
    <w:rsid w:val="00E1383E"/>
    <w:rsid w:val="00E15CFC"/>
    <w:rsid w:val="00E21B3C"/>
    <w:rsid w:val="00E22F3D"/>
    <w:rsid w:val="00E259DE"/>
    <w:rsid w:val="00E452EF"/>
    <w:rsid w:val="00E6466E"/>
    <w:rsid w:val="00E84362"/>
    <w:rsid w:val="00E850E2"/>
    <w:rsid w:val="00E91506"/>
    <w:rsid w:val="00E94301"/>
    <w:rsid w:val="00EA0085"/>
    <w:rsid w:val="00EA4D52"/>
    <w:rsid w:val="00EA697F"/>
    <w:rsid w:val="00EB13E4"/>
    <w:rsid w:val="00EB2E75"/>
    <w:rsid w:val="00EB5AB0"/>
    <w:rsid w:val="00EC0993"/>
    <w:rsid w:val="00ED21B9"/>
    <w:rsid w:val="00ED2610"/>
    <w:rsid w:val="00ED3E0A"/>
    <w:rsid w:val="00ED4860"/>
    <w:rsid w:val="00ED5097"/>
    <w:rsid w:val="00EE7242"/>
    <w:rsid w:val="00EF4FA6"/>
    <w:rsid w:val="00EF5078"/>
    <w:rsid w:val="00EF578A"/>
    <w:rsid w:val="00EF6E27"/>
    <w:rsid w:val="00F003BE"/>
    <w:rsid w:val="00F016EA"/>
    <w:rsid w:val="00F02026"/>
    <w:rsid w:val="00F11988"/>
    <w:rsid w:val="00F17814"/>
    <w:rsid w:val="00F25625"/>
    <w:rsid w:val="00F272E5"/>
    <w:rsid w:val="00F317BF"/>
    <w:rsid w:val="00F3737C"/>
    <w:rsid w:val="00F44982"/>
    <w:rsid w:val="00F46741"/>
    <w:rsid w:val="00F54A5C"/>
    <w:rsid w:val="00F5724E"/>
    <w:rsid w:val="00F57F29"/>
    <w:rsid w:val="00F6591F"/>
    <w:rsid w:val="00F703DF"/>
    <w:rsid w:val="00F8314A"/>
    <w:rsid w:val="00F85F14"/>
    <w:rsid w:val="00F92711"/>
    <w:rsid w:val="00F97D33"/>
    <w:rsid w:val="00FA05BC"/>
    <w:rsid w:val="00FA0BB3"/>
    <w:rsid w:val="00FA23C6"/>
    <w:rsid w:val="00FB4AD3"/>
    <w:rsid w:val="00FB5215"/>
    <w:rsid w:val="00FC19B7"/>
    <w:rsid w:val="00FD656A"/>
    <w:rsid w:val="00FE1590"/>
    <w:rsid w:val="00FE22EF"/>
    <w:rsid w:val="00FF6E2B"/>
    <w:rsid w:val="542AAC9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C82BD3"/>
  <w15:chartTrackingRefBased/>
  <w15:docId w15:val="{F559B3A3-4632-214C-A3A2-DD24F9FF9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3737C"/>
    <w:rPr>
      <w:kern w:val="2"/>
      <w:lang w:val="en-US"/>
      <w14:ligatures w14:val="standardContextual"/>
    </w:rPr>
  </w:style>
  <w:style w:type="paragraph" w:styleId="Titolo1">
    <w:name w:val="heading 1"/>
    <w:basedOn w:val="Normale"/>
    <w:next w:val="Normale"/>
    <w:link w:val="Titolo1Carattere"/>
    <w:uiPriority w:val="9"/>
    <w:qFormat/>
    <w:rsid w:val="00FE15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E15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E159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E159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E159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E1590"/>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E1590"/>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E1590"/>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E1590"/>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E159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E159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E159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E159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E159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E159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E159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E159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E1590"/>
    <w:rPr>
      <w:rFonts w:eastAsiaTheme="majorEastAsia" w:cstheme="majorBidi"/>
      <w:color w:val="272727" w:themeColor="text1" w:themeTint="D8"/>
    </w:rPr>
  </w:style>
  <w:style w:type="paragraph" w:styleId="Titolo">
    <w:name w:val="Title"/>
    <w:basedOn w:val="Normale"/>
    <w:next w:val="Normale"/>
    <w:link w:val="TitoloCarattere"/>
    <w:uiPriority w:val="10"/>
    <w:qFormat/>
    <w:rsid w:val="00FE1590"/>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E159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E1590"/>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E159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E1590"/>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FE1590"/>
    <w:rPr>
      <w:i/>
      <w:iCs/>
      <w:color w:val="404040" w:themeColor="text1" w:themeTint="BF"/>
    </w:rPr>
  </w:style>
  <w:style w:type="paragraph" w:styleId="Paragrafoelenco">
    <w:name w:val="List Paragraph"/>
    <w:basedOn w:val="Normale"/>
    <w:uiPriority w:val="34"/>
    <w:qFormat/>
    <w:rsid w:val="00FE1590"/>
    <w:pPr>
      <w:ind w:left="720"/>
      <w:contextualSpacing/>
    </w:pPr>
  </w:style>
  <w:style w:type="character" w:styleId="Enfasiintensa">
    <w:name w:val="Intense Emphasis"/>
    <w:basedOn w:val="Carpredefinitoparagrafo"/>
    <w:uiPriority w:val="21"/>
    <w:qFormat/>
    <w:rsid w:val="00FE1590"/>
    <w:rPr>
      <w:i/>
      <w:iCs/>
      <w:color w:val="0F4761" w:themeColor="accent1" w:themeShade="BF"/>
    </w:rPr>
  </w:style>
  <w:style w:type="paragraph" w:styleId="Citazioneintensa">
    <w:name w:val="Intense Quote"/>
    <w:basedOn w:val="Normale"/>
    <w:next w:val="Normale"/>
    <w:link w:val="CitazioneintensaCarattere"/>
    <w:uiPriority w:val="30"/>
    <w:qFormat/>
    <w:rsid w:val="00FE15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E1590"/>
    <w:rPr>
      <w:i/>
      <w:iCs/>
      <w:color w:val="0F4761" w:themeColor="accent1" w:themeShade="BF"/>
    </w:rPr>
  </w:style>
  <w:style w:type="character" w:styleId="Riferimentointenso">
    <w:name w:val="Intense Reference"/>
    <w:basedOn w:val="Carpredefinitoparagrafo"/>
    <w:uiPriority w:val="32"/>
    <w:qFormat/>
    <w:rsid w:val="00FE1590"/>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FE1590"/>
    <w:rPr>
      <w:sz w:val="20"/>
      <w:szCs w:val="20"/>
    </w:rPr>
  </w:style>
  <w:style w:type="character" w:customStyle="1" w:styleId="TestonotaapidipaginaCarattere">
    <w:name w:val="Testo nota a piè di pagina Carattere"/>
    <w:basedOn w:val="Carpredefinitoparagrafo"/>
    <w:link w:val="Testonotaapidipagina"/>
    <w:uiPriority w:val="99"/>
    <w:semiHidden/>
    <w:rsid w:val="00FE1590"/>
    <w:rPr>
      <w:kern w:val="2"/>
      <w:sz w:val="20"/>
      <w:szCs w:val="20"/>
      <w:lang w:val="en-US"/>
      <w14:ligatures w14:val="standardContextual"/>
    </w:rPr>
  </w:style>
  <w:style w:type="character" w:styleId="Rimandonotaapidipagina">
    <w:name w:val="footnote reference"/>
    <w:basedOn w:val="Carpredefinitoparagrafo"/>
    <w:uiPriority w:val="99"/>
    <w:semiHidden/>
    <w:unhideWhenUsed/>
    <w:rsid w:val="00FE1590"/>
    <w:rPr>
      <w:vertAlign w:val="superscript"/>
    </w:rPr>
  </w:style>
  <w:style w:type="character" w:styleId="Collegamentoipertestuale">
    <w:name w:val="Hyperlink"/>
    <w:basedOn w:val="Carpredefinitoparagrafo"/>
    <w:uiPriority w:val="99"/>
    <w:unhideWhenUsed/>
    <w:rsid w:val="00FE1590"/>
    <w:rPr>
      <w:color w:val="467886" w:themeColor="hyperlink"/>
      <w:u w:val="single"/>
    </w:rPr>
  </w:style>
  <w:style w:type="paragraph" w:customStyle="1" w:styleId="norme">
    <w:name w:val="norme"/>
    <w:basedOn w:val="Normale"/>
    <w:link w:val="normeCar"/>
    <w:qFormat/>
    <w:rsid w:val="00FE1590"/>
    <w:pPr>
      <w:numPr>
        <w:ilvl w:val="1"/>
        <w:numId w:val="2"/>
      </w:num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autoSpaceDE w:val="0"/>
      <w:autoSpaceDN w:val="0"/>
      <w:adjustRightInd w:val="0"/>
      <w:contextualSpacing/>
      <w:outlineLvl w:val="1"/>
    </w:pPr>
    <w:rPr>
      <w:rFonts w:ascii="Times New Roman" w:hAnsi="Times New Roman" w:cs="Times New Roman"/>
      <w:b/>
      <w:color w:val="000000"/>
      <w:kern w:val="0"/>
      <w:lang w:val="fr-CA"/>
      <w14:ligatures w14:val="none"/>
    </w:rPr>
  </w:style>
  <w:style w:type="character" w:customStyle="1" w:styleId="normeCar">
    <w:name w:val="norme Car"/>
    <w:basedOn w:val="Carpredefinitoparagrafo"/>
    <w:link w:val="norme"/>
    <w:rsid w:val="00FE1590"/>
    <w:rPr>
      <w:rFonts w:ascii="Times New Roman" w:hAnsi="Times New Roman" w:cs="Times New Roman"/>
      <w:b/>
      <w:color w:val="000000"/>
      <w:lang w:val="fr-CA"/>
    </w:rPr>
  </w:style>
  <w:style w:type="paragraph" w:customStyle="1" w:styleId="sousnorme">
    <w:name w:val="sous norme"/>
    <w:basedOn w:val="Normale"/>
    <w:qFormat/>
    <w:rsid w:val="00FE1590"/>
    <w:pPr>
      <w:numPr>
        <w:ilvl w:val="2"/>
        <w:numId w:val="2"/>
      </w:num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autoSpaceDE w:val="0"/>
      <w:autoSpaceDN w:val="0"/>
      <w:adjustRightInd w:val="0"/>
      <w:contextualSpacing/>
      <w:outlineLvl w:val="2"/>
    </w:pPr>
    <w:rPr>
      <w:rFonts w:ascii="Times New Roman" w:hAnsi="Times New Roman" w:cs="Times New Roman"/>
      <w:b/>
      <w:color w:val="000000"/>
      <w:kern w:val="0"/>
      <w:sz w:val="20"/>
      <w:lang w:val="fr-CA"/>
      <w14:ligatures w14:val="none"/>
    </w:rPr>
  </w:style>
  <w:style w:type="paragraph" w:styleId="Testocommento">
    <w:name w:val="annotation text"/>
    <w:basedOn w:val="Normale"/>
    <w:link w:val="TestocommentoCarattere"/>
    <w:uiPriority w:val="99"/>
    <w:unhideWhenUsed/>
    <w:rsid w:val="006344F9"/>
    <w:rPr>
      <w:sz w:val="20"/>
      <w:szCs w:val="20"/>
    </w:rPr>
  </w:style>
  <w:style w:type="character" w:customStyle="1" w:styleId="TestocommentoCarattere">
    <w:name w:val="Testo commento Carattere"/>
    <w:basedOn w:val="Carpredefinitoparagrafo"/>
    <w:link w:val="Testocommento"/>
    <w:uiPriority w:val="99"/>
    <w:rsid w:val="006344F9"/>
    <w:rPr>
      <w:kern w:val="2"/>
      <w:sz w:val="20"/>
      <w:szCs w:val="20"/>
      <w:lang w:val="en-US"/>
      <w14:ligatures w14:val="standardContextual"/>
    </w:rPr>
  </w:style>
  <w:style w:type="character" w:customStyle="1" w:styleId="delimited-listitem">
    <w:name w:val="delimited-list__item"/>
    <w:basedOn w:val="Carpredefinitoparagrafo"/>
    <w:rsid w:val="00843209"/>
  </w:style>
  <w:style w:type="character" w:customStyle="1" w:styleId="val">
    <w:name w:val="val"/>
    <w:basedOn w:val="Carpredefinitoparagrafo"/>
    <w:rsid w:val="00843209"/>
  </w:style>
  <w:style w:type="character" w:customStyle="1" w:styleId="A2">
    <w:name w:val="A2"/>
    <w:uiPriority w:val="99"/>
    <w:rsid w:val="00843209"/>
    <w:rPr>
      <w:rFonts w:cs="Garamond"/>
      <w:b/>
      <w:bCs/>
      <w:color w:val="000000"/>
      <w:sz w:val="22"/>
      <w:szCs w:val="22"/>
    </w:rPr>
  </w:style>
  <w:style w:type="character" w:styleId="Menzionenonrisolta">
    <w:name w:val="Unresolved Mention"/>
    <w:basedOn w:val="Carpredefinitoparagrafo"/>
    <w:uiPriority w:val="99"/>
    <w:semiHidden/>
    <w:unhideWhenUsed/>
    <w:rsid w:val="00843209"/>
    <w:rPr>
      <w:color w:val="605E5C"/>
      <w:shd w:val="clear" w:color="auto" w:fill="E1DFDD"/>
    </w:rPr>
  </w:style>
  <w:style w:type="paragraph" w:styleId="Pidipagina">
    <w:name w:val="footer"/>
    <w:basedOn w:val="Normale"/>
    <w:link w:val="PidipaginaCarattere"/>
    <w:uiPriority w:val="99"/>
    <w:unhideWhenUsed/>
    <w:rsid w:val="00E452EF"/>
    <w:pPr>
      <w:tabs>
        <w:tab w:val="center" w:pos="4819"/>
        <w:tab w:val="right" w:pos="9638"/>
      </w:tabs>
    </w:pPr>
  </w:style>
  <w:style w:type="character" w:customStyle="1" w:styleId="PidipaginaCarattere">
    <w:name w:val="Piè di pagina Carattere"/>
    <w:basedOn w:val="Carpredefinitoparagrafo"/>
    <w:link w:val="Pidipagina"/>
    <w:uiPriority w:val="99"/>
    <w:rsid w:val="00E452EF"/>
    <w:rPr>
      <w:kern w:val="2"/>
      <w:lang w:val="en-US"/>
      <w14:ligatures w14:val="standardContextual"/>
    </w:rPr>
  </w:style>
  <w:style w:type="character" w:styleId="Numeropagina">
    <w:name w:val="page number"/>
    <w:basedOn w:val="Carpredefinitoparagrafo"/>
    <w:uiPriority w:val="99"/>
    <w:semiHidden/>
    <w:unhideWhenUsed/>
    <w:rsid w:val="00E452EF"/>
  </w:style>
  <w:style w:type="character" w:styleId="Rimandocommento">
    <w:name w:val="annotation reference"/>
    <w:basedOn w:val="Carpredefinitoparagrafo"/>
    <w:uiPriority w:val="99"/>
    <w:semiHidden/>
    <w:unhideWhenUsed/>
    <w:rsid w:val="003B5CEB"/>
    <w:rPr>
      <w:sz w:val="16"/>
      <w:szCs w:val="16"/>
    </w:rPr>
  </w:style>
  <w:style w:type="paragraph" w:styleId="Soggettocommento">
    <w:name w:val="annotation subject"/>
    <w:basedOn w:val="Testocommento"/>
    <w:next w:val="Testocommento"/>
    <w:link w:val="SoggettocommentoCarattere"/>
    <w:uiPriority w:val="99"/>
    <w:semiHidden/>
    <w:unhideWhenUsed/>
    <w:rsid w:val="003B5CEB"/>
    <w:rPr>
      <w:b/>
      <w:bCs/>
    </w:rPr>
  </w:style>
  <w:style w:type="character" w:customStyle="1" w:styleId="SoggettocommentoCarattere">
    <w:name w:val="Soggetto commento Carattere"/>
    <w:basedOn w:val="TestocommentoCarattere"/>
    <w:link w:val="Soggettocommento"/>
    <w:uiPriority w:val="99"/>
    <w:semiHidden/>
    <w:rsid w:val="003B5CEB"/>
    <w:rPr>
      <w:b/>
      <w:bCs/>
      <w:kern w:val="2"/>
      <w:sz w:val="20"/>
      <w:szCs w:val="20"/>
      <w:lang w:val="en-US"/>
      <w14:ligatures w14:val="standardContextual"/>
    </w:rPr>
  </w:style>
  <w:style w:type="paragraph" w:styleId="Intestazione">
    <w:name w:val="header"/>
    <w:basedOn w:val="Normale"/>
    <w:link w:val="IntestazioneCarattere"/>
    <w:uiPriority w:val="99"/>
    <w:unhideWhenUsed/>
    <w:rsid w:val="005F2D53"/>
    <w:pPr>
      <w:tabs>
        <w:tab w:val="center" w:pos="4819"/>
        <w:tab w:val="right" w:pos="9638"/>
      </w:tabs>
    </w:pPr>
  </w:style>
  <w:style w:type="character" w:customStyle="1" w:styleId="IntestazioneCarattere">
    <w:name w:val="Intestazione Carattere"/>
    <w:basedOn w:val="Carpredefinitoparagrafo"/>
    <w:link w:val="Intestazione"/>
    <w:uiPriority w:val="99"/>
    <w:rsid w:val="005F2D53"/>
    <w:rPr>
      <w:kern w:val="2"/>
      <w:lang w:val="en-US"/>
      <w14:ligatures w14:val="standardContextual"/>
    </w:rPr>
  </w:style>
  <w:style w:type="paragraph" w:customStyle="1" w:styleId="preflight-heading">
    <w:name w:val="preflight-heading"/>
    <w:pPr>
      <w:spacing w:before="60" w:after="60"/>
    </w:pPr>
    <w:rPr>
      <w:b/>
      <w:color w:val="000000"/>
      <w:sz w:val="20"/>
    </w:rPr>
  </w:style>
  <w:style w:type="paragraph" w:customStyle="1" w:styleId="preflight-description">
    <w:name w:val="preflight-description"/>
    <w:pPr>
      <w:spacing w:before="60" w:after="60"/>
    </w:pPr>
    <w:rPr>
      <w:color w:val="000000"/>
      <w:sz w:val="20"/>
    </w:rPr>
  </w:style>
  <w:style w:type="paragraph" w:customStyle="1" w:styleId="preflight-link">
    <w:name w:val="preflight-link"/>
    <w:pPr>
      <w:spacing w:before="60" w:after="60"/>
    </w:pPr>
    <w:rPr>
      <w:color w:val="0000FF"/>
      <w:sz w:val="20"/>
      <w:u w:val="single"/>
    </w:rPr>
  </w:style>
  <w:style w:type="paragraph" w:customStyle="1" w:styleId="preflight-example">
    <w:name w:val="preflight-example"/>
    <w:pPr>
      <w:spacing w:before="180" w:after="60"/>
    </w:pPr>
    <w:rPr>
      <w:i/>
      <w:color w:val="000000"/>
      <w:sz w:val="20"/>
    </w:rPr>
  </w:style>
  <w:style w:type="paragraph" w:styleId="NormaleWeb">
    <w:name w:val="Normal (Web)"/>
    <w:basedOn w:val="Normale"/>
    <w:uiPriority w:val="99"/>
    <w:unhideWhenUsed/>
    <w:rsid w:val="006D6B38"/>
    <w:pPr>
      <w:spacing w:before="100" w:beforeAutospacing="1" w:after="100" w:afterAutospacing="1"/>
    </w:pPr>
    <w:rPr>
      <w:rFonts w:ascii="Times New Roman" w:eastAsia="Times New Roman" w:hAnsi="Times New Roman" w:cs="Times New Roman"/>
      <w:kern w:val="0"/>
      <w:lang w:val="it-IT" w:eastAsia="it-IT"/>
      <w14:ligatures w14:val="none"/>
    </w:rPr>
  </w:style>
  <w:style w:type="character" w:styleId="Enfasigrassetto">
    <w:name w:val="Strong"/>
    <w:basedOn w:val="Carpredefinitoparagrafo"/>
    <w:uiPriority w:val="22"/>
    <w:qFormat/>
    <w:rsid w:val="00A84808"/>
    <w:rPr>
      <w:b/>
      <w:bCs/>
    </w:rPr>
  </w:style>
  <w:style w:type="character" w:styleId="Enfasicorsivo">
    <w:name w:val="Emphasis"/>
    <w:basedOn w:val="Carpredefinitoparagrafo"/>
    <w:uiPriority w:val="20"/>
    <w:qFormat/>
    <w:rsid w:val="0016153D"/>
    <w:rPr>
      <w:i/>
      <w:iCs/>
    </w:rPr>
  </w:style>
  <w:style w:type="character" w:customStyle="1" w:styleId="anchor-text">
    <w:name w:val="anchor-text"/>
    <w:basedOn w:val="Carpredefinitoparagrafo"/>
    <w:rsid w:val="009C2869"/>
  </w:style>
  <w:style w:type="paragraph" w:styleId="Revisione">
    <w:name w:val="Revision"/>
    <w:hidden/>
    <w:uiPriority w:val="99"/>
    <w:semiHidden/>
    <w:rsid w:val="00E94301"/>
    <w:rPr>
      <w:kern w:val="2"/>
      <w:lang w:val="en-US"/>
      <w14:ligatures w14:val="standardContextual"/>
    </w:rPr>
  </w:style>
  <w:style w:type="character" w:styleId="Testosegnaposto">
    <w:name w:val="Placeholder Text"/>
    <w:basedOn w:val="Carpredefinitoparagrafo"/>
    <w:uiPriority w:val="99"/>
    <w:semiHidden/>
    <w:rsid w:val="00E850E2"/>
    <w:rPr>
      <w:color w:val="666666"/>
    </w:rPr>
  </w:style>
  <w:style w:type="character" w:styleId="Collegamentovisitato">
    <w:name w:val="FollowedHyperlink"/>
    <w:basedOn w:val="Carpredefinitoparagrafo"/>
    <w:uiPriority w:val="99"/>
    <w:semiHidden/>
    <w:unhideWhenUsed/>
    <w:rsid w:val="00E850E2"/>
    <w:rPr>
      <w:color w:val="96607D" w:themeColor="followedHyperlink"/>
      <w:u w:val="single"/>
    </w:rPr>
  </w:style>
  <w:style w:type="paragraph" w:customStyle="1" w:styleId="textenorme">
    <w:name w:val="texte norme"/>
    <w:basedOn w:val="Normale"/>
    <w:link w:val="textenormeCar"/>
    <w:qFormat/>
    <w:rsid w:val="00E850E2"/>
    <w:pPr>
      <w:numPr>
        <w:numId w:val="14"/>
      </w:num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autoSpaceDE w:val="0"/>
      <w:autoSpaceDN w:val="0"/>
      <w:adjustRightInd w:val="0"/>
      <w:contextualSpacing/>
    </w:pPr>
    <w:rPr>
      <w:rFonts w:ascii="Times New Roman" w:eastAsiaTheme="minorEastAsia" w:hAnsi="Times New Roman" w:cs="Times New Roman"/>
      <w:color w:val="000000" w:themeColor="text1"/>
      <w:kern w:val="0"/>
      <w:sz w:val="20"/>
      <w14:ligatures w14:val="none"/>
    </w:rPr>
  </w:style>
  <w:style w:type="character" w:customStyle="1" w:styleId="textenormeCar">
    <w:name w:val="texte norme Car"/>
    <w:basedOn w:val="Carpredefinitoparagrafo"/>
    <w:link w:val="textenorme"/>
    <w:rsid w:val="00E850E2"/>
    <w:rPr>
      <w:rFonts w:ascii="Times New Roman" w:eastAsiaTheme="minorEastAsia" w:hAnsi="Times New Roman" w:cs="Times New Roman"/>
      <w:color w:val="000000" w:themeColor="text1"/>
      <w:sz w:val="20"/>
      <w:lang w:val="en-US"/>
    </w:rPr>
  </w:style>
  <w:style w:type="table" w:styleId="Grigliatabella">
    <w:name w:val="Table Grid"/>
    <w:basedOn w:val="Tabellanormale"/>
    <w:uiPriority w:val="39"/>
    <w:rsid w:val="00E850E2"/>
    <w:rPr>
      <w:kern w:val="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085034">
      <w:bodyDiv w:val="1"/>
      <w:marLeft w:val="0"/>
      <w:marRight w:val="0"/>
      <w:marTop w:val="0"/>
      <w:marBottom w:val="0"/>
      <w:divBdr>
        <w:top w:val="none" w:sz="0" w:space="0" w:color="auto"/>
        <w:left w:val="none" w:sz="0" w:space="0" w:color="auto"/>
        <w:bottom w:val="none" w:sz="0" w:space="0" w:color="auto"/>
        <w:right w:val="none" w:sz="0" w:space="0" w:color="auto"/>
      </w:divBdr>
    </w:div>
    <w:div w:id="412317724">
      <w:bodyDiv w:val="1"/>
      <w:marLeft w:val="0"/>
      <w:marRight w:val="0"/>
      <w:marTop w:val="0"/>
      <w:marBottom w:val="0"/>
      <w:divBdr>
        <w:top w:val="none" w:sz="0" w:space="0" w:color="auto"/>
        <w:left w:val="none" w:sz="0" w:space="0" w:color="auto"/>
        <w:bottom w:val="none" w:sz="0" w:space="0" w:color="auto"/>
        <w:right w:val="none" w:sz="0" w:space="0" w:color="auto"/>
      </w:divBdr>
    </w:div>
    <w:div w:id="477652577">
      <w:bodyDiv w:val="1"/>
      <w:marLeft w:val="0"/>
      <w:marRight w:val="0"/>
      <w:marTop w:val="0"/>
      <w:marBottom w:val="0"/>
      <w:divBdr>
        <w:top w:val="none" w:sz="0" w:space="0" w:color="auto"/>
        <w:left w:val="none" w:sz="0" w:space="0" w:color="auto"/>
        <w:bottom w:val="none" w:sz="0" w:space="0" w:color="auto"/>
        <w:right w:val="none" w:sz="0" w:space="0" w:color="auto"/>
      </w:divBdr>
    </w:div>
    <w:div w:id="819465603">
      <w:bodyDiv w:val="1"/>
      <w:marLeft w:val="0"/>
      <w:marRight w:val="0"/>
      <w:marTop w:val="0"/>
      <w:marBottom w:val="0"/>
      <w:divBdr>
        <w:top w:val="none" w:sz="0" w:space="0" w:color="auto"/>
        <w:left w:val="none" w:sz="0" w:space="0" w:color="auto"/>
        <w:bottom w:val="none" w:sz="0" w:space="0" w:color="auto"/>
        <w:right w:val="none" w:sz="0" w:space="0" w:color="auto"/>
      </w:divBdr>
    </w:div>
    <w:div w:id="956520972">
      <w:bodyDiv w:val="1"/>
      <w:marLeft w:val="0"/>
      <w:marRight w:val="0"/>
      <w:marTop w:val="0"/>
      <w:marBottom w:val="0"/>
      <w:divBdr>
        <w:top w:val="none" w:sz="0" w:space="0" w:color="auto"/>
        <w:left w:val="none" w:sz="0" w:space="0" w:color="auto"/>
        <w:bottom w:val="none" w:sz="0" w:space="0" w:color="auto"/>
        <w:right w:val="none" w:sz="0" w:space="0" w:color="auto"/>
      </w:divBdr>
    </w:div>
    <w:div w:id="1194808165">
      <w:bodyDiv w:val="1"/>
      <w:marLeft w:val="0"/>
      <w:marRight w:val="0"/>
      <w:marTop w:val="0"/>
      <w:marBottom w:val="0"/>
      <w:divBdr>
        <w:top w:val="none" w:sz="0" w:space="0" w:color="auto"/>
        <w:left w:val="none" w:sz="0" w:space="0" w:color="auto"/>
        <w:bottom w:val="none" w:sz="0" w:space="0" w:color="auto"/>
        <w:right w:val="none" w:sz="0" w:space="0" w:color="auto"/>
      </w:divBdr>
    </w:div>
    <w:div w:id="1290628334">
      <w:bodyDiv w:val="1"/>
      <w:marLeft w:val="0"/>
      <w:marRight w:val="0"/>
      <w:marTop w:val="0"/>
      <w:marBottom w:val="0"/>
      <w:divBdr>
        <w:top w:val="none" w:sz="0" w:space="0" w:color="auto"/>
        <w:left w:val="none" w:sz="0" w:space="0" w:color="auto"/>
        <w:bottom w:val="none" w:sz="0" w:space="0" w:color="auto"/>
        <w:right w:val="none" w:sz="0" w:space="0" w:color="auto"/>
      </w:divBdr>
    </w:div>
    <w:div w:id="1317225593">
      <w:bodyDiv w:val="1"/>
      <w:marLeft w:val="0"/>
      <w:marRight w:val="0"/>
      <w:marTop w:val="0"/>
      <w:marBottom w:val="0"/>
      <w:divBdr>
        <w:top w:val="none" w:sz="0" w:space="0" w:color="auto"/>
        <w:left w:val="none" w:sz="0" w:space="0" w:color="auto"/>
        <w:bottom w:val="none" w:sz="0" w:space="0" w:color="auto"/>
        <w:right w:val="none" w:sz="0" w:space="0" w:color="auto"/>
      </w:divBdr>
    </w:div>
    <w:div w:id="1478262755">
      <w:bodyDiv w:val="1"/>
      <w:marLeft w:val="0"/>
      <w:marRight w:val="0"/>
      <w:marTop w:val="0"/>
      <w:marBottom w:val="0"/>
      <w:divBdr>
        <w:top w:val="none" w:sz="0" w:space="0" w:color="auto"/>
        <w:left w:val="none" w:sz="0" w:space="0" w:color="auto"/>
        <w:bottom w:val="none" w:sz="0" w:space="0" w:color="auto"/>
        <w:right w:val="none" w:sz="0" w:space="0" w:color="auto"/>
      </w:divBdr>
    </w:div>
    <w:div w:id="1542010350">
      <w:bodyDiv w:val="1"/>
      <w:marLeft w:val="0"/>
      <w:marRight w:val="0"/>
      <w:marTop w:val="0"/>
      <w:marBottom w:val="0"/>
      <w:divBdr>
        <w:top w:val="none" w:sz="0" w:space="0" w:color="auto"/>
        <w:left w:val="none" w:sz="0" w:space="0" w:color="auto"/>
        <w:bottom w:val="none" w:sz="0" w:space="0" w:color="auto"/>
        <w:right w:val="none" w:sz="0" w:space="0" w:color="auto"/>
      </w:divBdr>
    </w:div>
    <w:div w:id="1915581490">
      <w:bodyDiv w:val="1"/>
      <w:marLeft w:val="0"/>
      <w:marRight w:val="0"/>
      <w:marTop w:val="0"/>
      <w:marBottom w:val="0"/>
      <w:divBdr>
        <w:top w:val="none" w:sz="0" w:space="0" w:color="auto"/>
        <w:left w:val="none" w:sz="0" w:space="0" w:color="auto"/>
        <w:bottom w:val="none" w:sz="0" w:space="0" w:color="auto"/>
        <w:right w:val="none" w:sz="0" w:space="0" w:color="auto"/>
      </w:divBdr>
    </w:div>
    <w:div w:id="2143645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lse.ac.uk/business/consulting/assets/documents/TSD-Final-Report-Feb-2022.pdf"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4060/cc9613en"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epi.yale.edu/downloads" TargetMode="External"/><Relationship Id="rId2" Type="http://schemas.openxmlformats.org/officeDocument/2006/relationships/hyperlink" Target="https://www.chaire-epi.ulaval.ca/en/trend" TargetMode="External"/><Relationship Id="rId1" Type="http://schemas.openxmlformats.org/officeDocument/2006/relationships/hyperlink" Target="https://eping.wto.org/en/FactsAndFigures/Notifications"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11F955-B6F0-4A41-9980-418AD95C6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25</Pages>
  <Words>9118</Words>
  <Characters>51973</Characters>
  <Application>Microsoft Office Word</Application>
  <DocSecurity>0</DocSecurity>
  <Lines>433</Lines>
  <Paragraphs>121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margherita.scoppola@unimc.it</dc:creator>
  <cp:lastModifiedBy>margherita.scoppola@unimc.it</cp:lastModifiedBy>
  <cp:revision>6</cp:revision>
  <cp:lastPrinted>2025-11-09T07:28:00Z</cp:lastPrinted>
  <dcterms:created xsi:type="dcterms:W3CDTF">2026-03-19T11:23:00Z</dcterms:created>
  <dcterms:modified xsi:type="dcterms:W3CDTF">2026-03-19T11:29:00Z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37b53abd-5363-4560-8b9c-1acfe75840e8</vt:lpwstr>
  </property>
</Properties>
</file>