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6326B1" w14:textId="501EE189" w:rsidR="007C6490" w:rsidRPr="002F48D6" w:rsidRDefault="0083681B" w:rsidP="002F48D6">
      <w:pPr>
        <w:widowControl w:val="0"/>
        <w:spacing w:beforeLines="200" w:before="480" w:afterLines="200" w:after="480" w:line="400" w:lineRule="exact"/>
        <w:jc w:val="center"/>
        <w:rPr>
          <w:rFonts w:eastAsia="SimSun"/>
          <w:kern w:val="2"/>
          <w:sz w:val="32"/>
          <w:szCs w:val="32"/>
          <w:lang w:val="en-GB" w:eastAsia="zh-CN"/>
        </w:rPr>
      </w:pPr>
      <w:r w:rsidRPr="002F48D6">
        <w:rPr>
          <w:rFonts w:eastAsia="SimSun"/>
          <w:kern w:val="2"/>
          <w:sz w:val="32"/>
          <w:szCs w:val="32"/>
          <w:lang w:val="en-GB" w:eastAsia="zh-CN"/>
        </w:rPr>
        <w:t>Aging and Finance. A Literature Review on Risk Profiles, Decision-Making, and Investment Returns</w:t>
      </w:r>
    </w:p>
    <w:p w14:paraId="1C1FBBB5" w14:textId="3CC9ADD1" w:rsidR="007C6490" w:rsidRDefault="007C6490" w:rsidP="00A03C62">
      <w:pPr>
        <w:pStyle w:val="Paragrafoelenco"/>
        <w:spacing w:line="276" w:lineRule="auto"/>
        <w:ind w:left="0"/>
        <w:jc w:val="both"/>
        <w:rPr>
          <w:b/>
          <w:bCs/>
          <w:color w:val="000000" w:themeColor="text1"/>
          <w:lang w:val="en-GB"/>
        </w:rPr>
      </w:pPr>
    </w:p>
    <w:p w14:paraId="035AD2EE" w14:textId="77777777" w:rsidR="0083681B" w:rsidRPr="004F507F" w:rsidRDefault="0083681B" w:rsidP="00A03C62">
      <w:pPr>
        <w:pStyle w:val="Paragrafoelenco"/>
        <w:spacing w:line="276" w:lineRule="auto"/>
        <w:ind w:left="0"/>
        <w:jc w:val="both"/>
        <w:rPr>
          <w:b/>
          <w:bCs/>
          <w:color w:val="000000" w:themeColor="text1"/>
          <w:lang w:val="en-GB"/>
        </w:rPr>
      </w:pPr>
    </w:p>
    <w:p w14:paraId="201E08AA" w14:textId="4C412F60" w:rsidR="00CB7D6D" w:rsidRPr="002F48D6" w:rsidRDefault="00CB7D6D" w:rsidP="002F48D6">
      <w:pPr>
        <w:adjustRightInd w:val="0"/>
        <w:snapToGrid w:val="0"/>
        <w:spacing w:beforeLines="200" w:before="480" w:afterLines="200" w:after="480" w:line="400" w:lineRule="exact"/>
        <w:jc w:val="center"/>
        <w:outlineLvl w:val="0"/>
        <w:rPr>
          <w:rFonts w:eastAsia="SimSun"/>
          <w:sz w:val="20"/>
          <w:szCs w:val="20"/>
          <w:vertAlign w:val="superscript"/>
          <w:lang w:val="de-DE" w:eastAsia="zh-CN"/>
        </w:rPr>
      </w:pPr>
      <w:r w:rsidRPr="002F48D6">
        <w:rPr>
          <w:rFonts w:eastAsia="SimSun"/>
          <w:sz w:val="20"/>
          <w:szCs w:val="20"/>
          <w:lang w:val="de-DE" w:eastAsia="zh-CN"/>
        </w:rPr>
        <w:t>Barbara Fidanza</w:t>
      </w:r>
      <w:r w:rsidR="002F48D6">
        <w:rPr>
          <w:rFonts w:eastAsia="SimSun"/>
          <w:sz w:val="20"/>
          <w:szCs w:val="20"/>
          <w:vertAlign w:val="superscript"/>
          <w:lang w:val="de-DE" w:eastAsia="zh-CN"/>
        </w:rPr>
        <w:t>1</w:t>
      </w:r>
      <w:r w:rsidR="002F48D6">
        <w:rPr>
          <w:rFonts w:eastAsia="SimSun"/>
          <w:sz w:val="20"/>
          <w:szCs w:val="20"/>
          <w:lang w:val="de-DE" w:eastAsia="zh-CN"/>
        </w:rPr>
        <w:t xml:space="preserve"> and Anna Grazia Quaranta</w:t>
      </w:r>
      <w:r w:rsidR="002F48D6">
        <w:rPr>
          <w:rFonts w:eastAsia="SimSun"/>
          <w:sz w:val="20"/>
          <w:szCs w:val="20"/>
          <w:vertAlign w:val="superscript"/>
          <w:lang w:val="de-DE" w:eastAsia="zh-CN"/>
        </w:rPr>
        <w:t>2</w:t>
      </w:r>
    </w:p>
    <w:p w14:paraId="70C226AB" w14:textId="77777777" w:rsidR="002F48D6" w:rsidRDefault="002F48D6" w:rsidP="002F48D6">
      <w:pPr>
        <w:pStyle w:val="Paragrafoelenco"/>
        <w:spacing w:beforeLines="200" w:before="480" w:afterLines="200" w:after="480" w:line="400" w:lineRule="exact"/>
        <w:ind w:left="0"/>
        <w:rPr>
          <w:bCs/>
          <w:color w:val="000000" w:themeColor="text1"/>
          <w:sz w:val="21"/>
          <w:szCs w:val="21"/>
          <w:lang w:val="en-US"/>
        </w:rPr>
      </w:pPr>
      <w:r w:rsidRPr="00ED6927">
        <w:rPr>
          <w:bCs/>
          <w:color w:val="000000" w:themeColor="text1"/>
          <w:sz w:val="21"/>
          <w:szCs w:val="21"/>
          <w:vertAlign w:val="superscript"/>
          <w:lang w:val="en-US"/>
        </w:rPr>
        <w:t>1</w:t>
      </w:r>
      <w:r w:rsidRPr="00ED6927">
        <w:rPr>
          <w:bCs/>
          <w:color w:val="000000" w:themeColor="text1"/>
          <w:sz w:val="21"/>
          <w:szCs w:val="21"/>
          <w:lang w:val="en-US"/>
        </w:rPr>
        <w:t>Department of Economics and Law, University of Macerata, Macerata, Italy</w:t>
      </w:r>
      <w:r>
        <w:rPr>
          <w:bCs/>
          <w:color w:val="000000" w:themeColor="text1"/>
          <w:sz w:val="21"/>
          <w:szCs w:val="21"/>
          <w:lang w:val="en-US"/>
        </w:rPr>
        <w:t xml:space="preserve">, </w:t>
      </w:r>
    </w:p>
    <w:p w14:paraId="63527284" w14:textId="77777777" w:rsidR="002F48D6" w:rsidRPr="00ED6927" w:rsidRDefault="002F48D6" w:rsidP="002F48D6">
      <w:pPr>
        <w:pStyle w:val="Paragrafoelenco"/>
        <w:spacing w:beforeLines="200" w:before="480" w:afterLines="200" w:after="480" w:line="400" w:lineRule="exact"/>
        <w:ind w:left="0"/>
        <w:rPr>
          <w:bCs/>
          <w:color w:val="000000" w:themeColor="text1"/>
          <w:sz w:val="21"/>
          <w:szCs w:val="21"/>
          <w:lang w:val="en-US"/>
        </w:rPr>
      </w:pPr>
      <w:r w:rsidRPr="00ED6927">
        <w:rPr>
          <w:bCs/>
          <w:color w:val="000000" w:themeColor="text1"/>
          <w:sz w:val="21"/>
          <w:szCs w:val="21"/>
          <w:lang w:val="en-US"/>
        </w:rPr>
        <w:t>Correspondence: Department of Economics and Law, University of Macerata, Via Crescimbeni 14, 62100,</w:t>
      </w:r>
    </w:p>
    <w:p w14:paraId="6D0030A8" w14:textId="77777777" w:rsidR="002F48D6" w:rsidRDefault="002F48D6" w:rsidP="002F48D6">
      <w:pPr>
        <w:pStyle w:val="Paragrafoelenco"/>
        <w:spacing w:beforeLines="200" w:before="480" w:afterLines="200" w:after="480" w:line="400" w:lineRule="exact"/>
        <w:ind w:left="0"/>
      </w:pPr>
      <w:r w:rsidRPr="00ED6927">
        <w:rPr>
          <w:bCs/>
          <w:color w:val="000000" w:themeColor="text1"/>
          <w:sz w:val="21"/>
          <w:szCs w:val="21"/>
          <w:lang w:val="en-US"/>
        </w:rPr>
        <w:t>Macerata, Italy</w:t>
      </w:r>
      <w:r>
        <w:rPr>
          <w:bCs/>
          <w:color w:val="000000" w:themeColor="text1"/>
          <w:sz w:val="21"/>
          <w:szCs w:val="21"/>
          <w:lang w:val="en-US"/>
        </w:rPr>
        <w:t xml:space="preserve">, </w:t>
      </w:r>
      <w:hyperlink r:id="rId8" w:history="1">
        <w:r w:rsidRPr="00066D59">
          <w:rPr>
            <w:rStyle w:val="Collegamentoipertestuale"/>
            <w:sz w:val="21"/>
            <w:szCs w:val="21"/>
          </w:rPr>
          <w:t>barbara.fidan</w:t>
        </w:r>
        <w:r w:rsidRPr="00066D59">
          <w:rPr>
            <w:rStyle w:val="Collegamentoipertestuale"/>
            <w:sz w:val="21"/>
            <w:szCs w:val="21"/>
          </w:rPr>
          <w:t>z</w:t>
        </w:r>
        <w:r w:rsidRPr="00066D59">
          <w:rPr>
            <w:rStyle w:val="Collegamentoipertestuale"/>
            <w:sz w:val="21"/>
            <w:szCs w:val="21"/>
          </w:rPr>
          <w:t>a@unimc.it</w:t>
        </w:r>
      </w:hyperlink>
    </w:p>
    <w:p w14:paraId="47263925" w14:textId="77777777" w:rsidR="002F48D6" w:rsidRDefault="002F48D6" w:rsidP="002F48D6">
      <w:pPr>
        <w:pStyle w:val="Paragrafoelenco"/>
        <w:spacing w:beforeLines="200" w:before="480" w:afterLines="200" w:after="480" w:line="400" w:lineRule="exact"/>
        <w:ind w:left="0"/>
      </w:pPr>
    </w:p>
    <w:p w14:paraId="41C3D4AB" w14:textId="77777777" w:rsidR="002F48D6" w:rsidRDefault="002F48D6" w:rsidP="002F48D6">
      <w:pPr>
        <w:pStyle w:val="Paragrafoelenco"/>
        <w:spacing w:beforeLines="200" w:before="480" w:afterLines="200" w:after="480" w:line="400" w:lineRule="exact"/>
        <w:ind w:left="0"/>
        <w:rPr>
          <w:bCs/>
          <w:color w:val="000000" w:themeColor="text1"/>
          <w:sz w:val="21"/>
          <w:szCs w:val="21"/>
          <w:lang w:val="en-US"/>
        </w:rPr>
      </w:pPr>
      <w:r w:rsidRPr="002F48D6">
        <w:rPr>
          <w:bCs/>
          <w:color w:val="000000" w:themeColor="text1"/>
          <w:sz w:val="21"/>
          <w:szCs w:val="21"/>
          <w:vertAlign w:val="superscript"/>
          <w:lang w:val="en-US"/>
        </w:rPr>
        <w:t>2</w:t>
      </w:r>
      <w:r w:rsidRPr="00ED6927">
        <w:rPr>
          <w:bCs/>
          <w:color w:val="000000" w:themeColor="text1"/>
          <w:sz w:val="21"/>
          <w:szCs w:val="21"/>
          <w:lang w:val="en-US"/>
        </w:rPr>
        <w:t>Department of Economics and Law, University of Macerata, Macerata, Italy</w:t>
      </w:r>
      <w:r>
        <w:rPr>
          <w:bCs/>
          <w:color w:val="000000" w:themeColor="text1"/>
          <w:sz w:val="21"/>
          <w:szCs w:val="21"/>
          <w:lang w:val="en-US"/>
        </w:rPr>
        <w:t xml:space="preserve">, </w:t>
      </w:r>
    </w:p>
    <w:p w14:paraId="134D7E25" w14:textId="52E54CE5" w:rsidR="002F48D6" w:rsidRPr="00ED6927" w:rsidRDefault="002F48D6" w:rsidP="002F48D6">
      <w:pPr>
        <w:pStyle w:val="Paragrafoelenco"/>
        <w:spacing w:beforeLines="200" w:before="480" w:afterLines="200" w:after="480" w:line="400" w:lineRule="exact"/>
        <w:ind w:left="0"/>
        <w:rPr>
          <w:bCs/>
          <w:color w:val="000000" w:themeColor="text1"/>
          <w:sz w:val="21"/>
          <w:szCs w:val="21"/>
          <w:lang w:val="en-US"/>
        </w:rPr>
      </w:pPr>
      <w:r w:rsidRPr="00ED6927">
        <w:rPr>
          <w:bCs/>
          <w:color w:val="000000" w:themeColor="text1"/>
          <w:sz w:val="21"/>
          <w:szCs w:val="21"/>
          <w:lang w:val="en-US"/>
        </w:rPr>
        <w:t>Correspondence: Department of Economics and Law, University of Macerata, Via Crescimbeni 14, 62100,</w:t>
      </w:r>
    </w:p>
    <w:p w14:paraId="4F357A32" w14:textId="565763A9" w:rsidR="002F48D6" w:rsidRPr="002F48D6" w:rsidRDefault="002F48D6" w:rsidP="002F48D6">
      <w:pPr>
        <w:pStyle w:val="Paragrafoelenco"/>
        <w:spacing w:beforeLines="200" w:before="480" w:afterLines="200" w:after="480" w:line="400" w:lineRule="exact"/>
        <w:ind w:left="0"/>
        <w:rPr>
          <w:bCs/>
          <w:color w:val="000000" w:themeColor="text1"/>
          <w:sz w:val="21"/>
          <w:szCs w:val="21"/>
          <w:lang w:val="en-US"/>
        </w:rPr>
      </w:pPr>
      <w:r w:rsidRPr="00ED6927">
        <w:rPr>
          <w:bCs/>
          <w:color w:val="000000" w:themeColor="text1"/>
          <w:sz w:val="21"/>
          <w:szCs w:val="21"/>
          <w:lang w:val="en-US"/>
        </w:rPr>
        <w:t>Macerata, Italy</w:t>
      </w:r>
      <w:r>
        <w:rPr>
          <w:bCs/>
          <w:color w:val="000000" w:themeColor="text1"/>
          <w:sz w:val="21"/>
          <w:szCs w:val="21"/>
          <w:lang w:val="en-US"/>
        </w:rPr>
        <w:t xml:space="preserve">, </w:t>
      </w:r>
      <w:r w:rsidRPr="002F48D6">
        <w:rPr>
          <w:bCs/>
          <w:color w:val="000000" w:themeColor="text1"/>
          <w:sz w:val="21"/>
          <w:szCs w:val="21"/>
          <w:lang w:val="en-US"/>
        </w:rPr>
        <w:fldChar w:fldCharType="begin"/>
      </w:r>
      <w:r w:rsidRPr="002F48D6">
        <w:rPr>
          <w:bCs/>
          <w:color w:val="000000" w:themeColor="text1"/>
          <w:sz w:val="21"/>
          <w:szCs w:val="21"/>
          <w:lang w:val="en-US"/>
        </w:rPr>
        <w:instrText>HYPERLINK "mailto:annagrazia.quaranta@unimc.it"</w:instrText>
      </w:r>
      <w:r w:rsidRPr="002F48D6">
        <w:rPr>
          <w:bCs/>
          <w:color w:val="000000" w:themeColor="text1"/>
          <w:sz w:val="21"/>
          <w:szCs w:val="21"/>
          <w:lang w:val="en-US"/>
        </w:rPr>
      </w:r>
      <w:r w:rsidRPr="002F48D6">
        <w:rPr>
          <w:bCs/>
          <w:color w:val="000000" w:themeColor="text1"/>
          <w:sz w:val="21"/>
          <w:szCs w:val="21"/>
          <w:lang w:val="en-US"/>
        </w:rPr>
        <w:fldChar w:fldCharType="separate"/>
      </w:r>
      <w:r w:rsidRPr="002F48D6">
        <w:rPr>
          <w:bCs/>
          <w:color w:val="000000" w:themeColor="text1"/>
          <w:sz w:val="21"/>
          <w:szCs w:val="21"/>
          <w:lang w:val="en-US"/>
        </w:rPr>
        <w:t>annagrazia.quaranta@unimc.it</w:t>
      </w:r>
      <w:r w:rsidRPr="002F48D6">
        <w:rPr>
          <w:bCs/>
          <w:color w:val="000000" w:themeColor="text1"/>
          <w:sz w:val="21"/>
          <w:szCs w:val="21"/>
          <w:lang w:val="en-US"/>
        </w:rPr>
        <w:fldChar w:fldCharType="end"/>
      </w:r>
      <w:r>
        <w:rPr>
          <w:bCs/>
          <w:color w:val="000000" w:themeColor="text1"/>
          <w:sz w:val="21"/>
          <w:szCs w:val="21"/>
          <w:lang w:val="en-US"/>
        </w:rPr>
        <w:t xml:space="preserve"> </w:t>
      </w:r>
    </w:p>
    <w:p w14:paraId="1EECFB8E" w14:textId="519DA090" w:rsidR="002F48D6" w:rsidRPr="00ED6927" w:rsidRDefault="002F48D6" w:rsidP="002F48D6">
      <w:pPr>
        <w:pStyle w:val="Paragrafoelenco"/>
        <w:spacing w:beforeLines="200" w:before="480" w:afterLines="200" w:after="480" w:line="400" w:lineRule="exact"/>
        <w:ind w:left="0"/>
        <w:rPr>
          <w:bCs/>
          <w:color w:val="000000" w:themeColor="text1"/>
          <w:sz w:val="21"/>
          <w:szCs w:val="21"/>
          <w:lang w:val="en-US"/>
        </w:rPr>
      </w:pPr>
    </w:p>
    <w:p w14:paraId="45274CFF" w14:textId="77777777" w:rsidR="002F48D6" w:rsidRPr="00ED6927" w:rsidRDefault="002F48D6" w:rsidP="002F48D6">
      <w:pPr>
        <w:pStyle w:val="Paragrafoelenco"/>
        <w:spacing w:beforeLines="200" w:before="480" w:afterLines="200" w:after="480" w:line="400" w:lineRule="exact"/>
        <w:ind w:left="0"/>
        <w:rPr>
          <w:bCs/>
          <w:color w:val="000000" w:themeColor="text1"/>
          <w:sz w:val="21"/>
          <w:szCs w:val="21"/>
          <w:lang w:val="en-US"/>
        </w:rPr>
      </w:pPr>
    </w:p>
    <w:p w14:paraId="528FE911" w14:textId="77777777" w:rsidR="002F48D6" w:rsidRDefault="002F48D6">
      <w:pPr>
        <w:rPr>
          <w:rFonts w:eastAsia="SimSun"/>
          <w:kern w:val="2"/>
          <w:sz w:val="32"/>
          <w:szCs w:val="32"/>
          <w:lang w:val="en-GB" w:eastAsia="zh-CN"/>
        </w:rPr>
      </w:pPr>
      <w:r>
        <w:rPr>
          <w:rFonts w:eastAsia="SimSun"/>
          <w:kern w:val="2"/>
          <w:sz w:val="32"/>
          <w:szCs w:val="32"/>
          <w:lang w:val="en-GB" w:eastAsia="zh-CN"/>
        </w:rPr>
        <w:br w:type="page"/>
      </w:r>
    </w:p>
    <w:p w14:paraId="4DE8A862" w14:textId="71909423" w:rsidR="002F48D6" w:rsidRPr="002F48D6" w:rsidRDefault="002F48D6" w:rsidP="002F48D6">
      <w:pPr>
        <w:widowControl w:val="0"/>
        <w:spacing w:beforeLines="200" w:before="480" w:afterLines="200" w:after="480" w:line="400" w:lineRule="exact"/>
        <w:jc w:val="center"/>
        <w:rPr>
          <w:rFonts w:eastAsia="SimSun"/>
          <w:kern w:val="2"/>
          <w:sz w:val="32"/>
          <w:szCs w:val="32"/>
          <w:lang w:val="en-GB" w:eastAsia="zh-CN"/>
        </w:rPr>
      </w:pPr>
      <w:r w:rsidRPr="002F48D6">
        <w:rPr>
          <w:rFonts w:eastAsia="SimSun"/>
          <w:kern w:val="2"/>
          <w:sz w:val="32"/>
          <w:szCs w:val="32"/>
          <w:lang w:val="en-GB" w:eastAsia="zh-CN"/>
        </w:rPr>
        <w:lastRenderedPageBreak/>
        <w:t>Aging and Finance. A Literature Review on Risk Profiles, Decision-Making, and Investment Returns</w:t>
      </w:r>
    </w:p>
    <w:p w14:paraId="1FECCDE7" w14:textId="5AA3E597" w:rsidR="00CB7D6D" w:rsidRPr="002F48D6" w:rsidRDefault="00CB7D6D" w:rsidP="002F48D6">
      <w:pPr>
        <w:pStyle w:val="Paragrafoelenco"/>
        <w:spacing w:afterLines="80" w:after="192" w:line="240" w:lineRule="exact"/>
        <w:ind w:left="0"/>
        <w:jc w:val="center"/>
        <w:rPr>
          <w:b/>
          <w:bCs/>
          <w:color w:val="000000" w:themeColor="text1"/>
          <w:sz w:val="20"/>
          <w:szCs w:val="20"/>
          <w:lang w:val="en-GB"/>
        </w:rPr>
      </w:pPr>
    </w:p>
    <w:p w14:paraId="5CABC76B" w14:textId="77777777" w:rsidR="00CB7D6D" w:rsidRPr="002F48D6" w:rsidRDefault="00CB7D6D" w:rsidP="002F48D6">
      <w:pPr>
        <w:pStyle w:val="Paragrafoelenco"/>
        <w:spacing w:afterLines="80" w:after="192" w:line="240" w:lineRule="exact"/>
        <w:ind w:left="0"/>
        <w:jc w:val="center"/>
        <w:rPr>
          <w:b/>
          <w:bCs/>
          <w:color w:val="000000" w:themeColor="text1"/>
          <w:sz w:val="20"/>
          <w:szCs w:val="20"/>
          <w:lang w:val="en-GB"/>
        </w:rPr>
      </w:pPr>
    </w:p>
    <w:p w14:paraId="6C43AB77" w14:textId="0DA1F6D7" w:rsidR="007C6490" w:rsidRPr="002F48D6" w:rsidRDefault="007C6490" w:rsidP="002F48D6">
      <w:pPr>
        <w:pStyle w:val="Paragrafoelenco"/>
        <w:spacing w:afterLines="80" w:after="192" w:line="240" w:lineRule="exact"/>
        <w:ind w:left="0"/>
        <w:jc w:val="center"/>
        <w:rPr>
          <w:b/>
          <w:bCs/>
          <w:color w:val="000000" w:themeColor="text1"/>
          <w:sz w:val="20"/>
          <w:szCs w:val="20"/>
          <w:lang w:val="en-GB"/>
        </w:rPr>
      </w:pPr>
      <w:r w:rsidRPr="002F48D6">
        <w:rPr>
          <w:b/>
          <w:bCs/>
          <w:color w:val="000000" w:themeColor="text1"/>
          <w:sz w:val="20"/>
          <w:szCs w:val="20"/>
          <w:lang w:val="en-GB"/>
        </w:rPr>
        <w:t>Abstract</w:t>
      </w:r>
    </w:p>
    <w:p w14:paraId="327DBBB5" w14:textId="1C96EFF0" w:rsidR="007C6490" w:rsidRPr="002F48D6" w:rsidRDefault="007C6490" w:rsidP="002F48D6">
      <w:pPr>
        <w:pStyle w:val="Paragrafoelenco"/>
        <w:spacing w:afterLines="80" w:after="192" w:line="240" w:lineRule="exact"/>
        <w:ind w:left="0"/>
        <w:jc w:val="center"/>
        <w:rPr>
          <w:b/>
          <w:bCs/>
          <w:color w:val="000000" w:themeColor="text1"/>
          <w:sz w:val="20"/>
          <w:szCs w:val="20"/>
          <w:lang w:val="en-GB"/>
        </w:rPr>
      </w:pPr>
    </w:p>
    <w:p w14:paraId="6A870137" w14:textId="46A1D1D3" w:rsidR="00B161DB" w:rsidRPr="002F48D6" w:rsidRDefault="00B161DB" w:rsidP="002F48D6">
      <w:pPr>
        <w:pStyle w:val="Paragrafoelenco"/>
        <w:spacing w:afterLines="80" w:after="192" w:line="240" w:lineRule="exact"/>
        <w:ind w:left="0"/>
        <w:jc w:val="both"/>
        <w:rPr>
          <w:sz w:val="20"/>
          <w:szCs w:val="20"/>
          <w:lang w:val="en-US"/>
        </w:rPr>
      </w:pPr>
      <w:r w:rsidRPr="002F48D6">
        <w:rPr>
          <w:sz w:val="20"/>
          <w:szCs w:val="20"/>
          <w:lang w:val="en-US"/>
        </w:rPr>
        <w:t>As population aging accelerates worldwide, societies face profound economic, social, and financial challenges. This paper provides a comprehensive review of the literature on the financial vulnerability of older adults, with a particular focus on Italy, where regional disparities exacerbate the issue. Drawing on interdisciplinary sources, the study examines the determinants of elderly financial behavio</w:t>
      </w:r>
      <w:r w:rsidR="0086669D" w:rsidRPr="002F48D6">
        <w:rPr>
          <w:sz w:val="20"/>
          <w:szCs w:val="20"/>
          <w:lang w:val="en-US"/>
        </w:rPr>
        <w:t>u</w:t>
      </w:r>
      <w:r w:rsidRPr="002F48D6">
        <w:rPr>
          <w:sz w:val="20"/>
          <w:szCs w:val="20"/>
          <w:lang w:val="en-US"/>
        </w:rPr>
        <w:t xml:space="preserve">r, including risk tolerance, cognitive decline, financial literacy, and exposure to fraud. The paper also </w:t>
      </w:r>
      <w:r w:rsidR="0086669D" w:rsidRPr="002F48D6">
        <w:rPr>
          <w:sz w:val="20"/>
          <w:szCs w:val="20"/>
          <w:lang w:val="en-US"/>
        </w:rPr>
        <w:t>analyses</w:t>
      </w:r>
      <w:r w:rsidRPr="002F48D6">
        <w:rPr>
          <w:sz w:val="20"/>
          <w:szCs w:val="20"/>
          <w:lang w:val="en-US"/>
        </w:rPr>
        <w:t xml:space="preserve"> the financial products and services currently available to older consumers and evaluates the extent to which they meet their specific needs. In its final section, the paper explores the intersection between aging, Corporate Social Responsibility (CSR), and Environmental, Social, and Governance (ESG) practices, arguing that inclusive financial services for the elderly can enhance both ethical responsibility and strategic positioning for financial institutions. The findings highlight the urgency of policy reforms and the need for tailored financial instruments that promote financial security and social inclusion in aging societies.</w:t>
      </w:r>
    </w:p>
    <w:p w14:paraId="657F9437" w14:textId="6A65ED80" w:rsidR="007C6490" w:rsidRPr="004F507F" w:rsidRDefault="007C6490" w:rsidP="00A03C62">
      <w:pPr>
        <w:pStyle w:val="Paragrafoelenco"/>
        <w:spacing w:line="276" w:lineRule="auto"/>
        <w:ind w:left="426"/>
        <w:jc w:val="both"/>
        <w:rPr>
          <w:b/>
          <w:bCs/>
          <w:color w:val="000000" w:themeColor="text1"/>
          <w:lang w:val="en-GB"/>
        </w:rPr>
      </w:pPr>
    </w:p>
    <w:p w14:paraId="63553A70" w14:textId="57AFCCF4" w:rsidR="007C6490" w:rsidRPr="004F507F" w:rsidRDefault="007C6490" w:rsidP="00A03C62">
      <w:pPr>
        <w:pStyle w:val="Paragrafoelenco"/>
        <w:spacing w:line="276" w:lineRule="auto"/>
        <w:ind w:left="426"/>
        <w:jc w:val="both"/>
        <w:rPr>
          <w:b/>
          <w:bCs/>
          <w:color w:val="000000" w:themeColor="text1"/>
          <w:lang w:val="en-GB"/>
        </w:rPr>
      </w:pPr>
    </w:p>
    <w:p w14:paraId="0E56868F" w14:textId="72570314" w:rsidR="007C6490" w:rsidRPr="002F48D6" w:rsidRDefault="007C6490" w:rsidP="002F48D6">
      <w:pPr>
        <w:pStyle w:val="Paragrafoelenco"/>
        <w:spacing w:afterLines="80" w:after="192" w:line="240" w:lineRule="exact"/>
        <w:ind w:left="0"/>
        <w:jc w:val="both"/>
        <w:rPr>
          <w:color w:val="000000" w:themeColor="text1"/>
          <w:sz w:val="20"/>
          <w:szCs w:val="20"/>
          <w:lang w:val="en-US"/>
        </w:rPr>
      </w:pPr>
      <w:r w:rsidRPr="002F48D6">
        <w:rPr>
          <w:b/>
          <w:bCs/>
          <w:color w:val="000000" w:themeColor="text1"/>
          <w:sz w:val="20"/>
          <w:szCs w:val="20"/>
          <w:lang w:val="en-US"/>
        </w:rPr>
        <w:t>Key-words</w:t>
      </w:r>
      <w:r w:rsidR="00183718" w:rsidRPr="002F48D6">
        <w:rPr>
          <w:color w:val="000000" w:themeColor="text1"/>
          <w:sz w:val="20"/>
          <w:szCs w:val="20"/>
          <w:lang w:val="en-US"/>
        </w:rPr>
        <w:t xml:space="preserve">: aging, </w:t>
      </w:r>
      <w:r w:rsidR="0086669D" w:rsidRPr="002F48D6">
        <w:rPr>
          <w:color w:val="000000" w:themeColor="text1"/>
          <w:sz w:val="20"/>
          <w:szCs w:val="20"/>
          <w:lang w:val="en-US"/>
        </w:rPr>
        <w:t>elderly</w:t>
      </w:r>
      <w:r w:rsidR="00183718" w:rsidRPr="002F48D6">
        <w:rPr>
          <w:color w:val="000000" w:themeColor="text1"/>
          <w:sz w:val="20"/>
          <w:szCs w:val="20"/>
          <w:lang w:val="en-US"/>
        </w:rPr>
        <w:t>, financial market, risk, investment</w:t>
      </w:r>
    </w:p>
    <w:p w14:paraId="1759EFAD" w14:textId="602E64BA" w:rsidR="007C6490" w:rsidRPr="002F48D6" w:rsidRDefault="007C6490" w:rsidP="002F48D6">
      <w:pPr>
        <w:pStyle w:val="Paragrafoelenco"/>
        <w:spacing w:afterLines="80" w:after="192" w:line="240" w:lineRule="exact"/>
        <w:ind w:left="0"/>
        <w:jc w:val="both"/>
        <w:rPr>
          <w:color w:val="000000" w:themeColor="text1"/>
          <w:sz w:val="20"/>
          <w:szCs w:val="20"/>
          <w:lang w:val="en-US"/>
        </w:rPr>
      </w:pPr>
      <w:r w:rsidRPr="002F48D6">
        <w:rPr>
          <w:b/>
          <w:bCs/>
          <w:color w:val="000000" w:themeColor="text1"/>
          <w:sz w:val="20"/>
          <w:szCs w:val="20"/>
          <w:lang w:val="en-US"/>
        </w:rPr>
        <w:t>Jel Classification</w:t>
      </w:r>
      <w:r w:rsidR="00A03C62" w:rsidRPr="002F48D6">
        <w:rPr>
          <w:color w:val="000000" w:themeColor="text1"/>
          <w:sz w:val="20"/>
          <w:szCs w:val="20"/>
          <w:lang w:val="en-US"/>
        </w:rPr>
        <w:t>: G1, G2, G4</w:t>
      </w:r>
    </w:p>
    <w:p w14:paraId="7F7DC6A8" w14:textId="173B0E0D" w:rsidR="007C6490" w:rsidRPr="004F507F" w:rsidRDefault="007C6490" w:rsidP="00A03C62">
      <w:pPr>
        <w:pStyle w:val="Paragrafoelenco"/>
        <w:spacing w:line="360" w:lineRule="auto"/>
        <w:ind w:left="426"/>
        <w:jc w:val="both"/>
        <w:rPr>
          <w:b/>
          <w:bCs/>
          <w:color w:val="000000" w:themeColor="text1"/>
          <w:lang w:val="en-GB"/>
        </w:rPr>
      </w:pPr>
    </w:p>
    <w:p w14:paraId="4F96B54E" w14:textId="77777777" w:rsidR="007C6490" w:rsidRPr="004F507F" w:rsidRDefault="007C6490" w:rsidP="00A03C62">
      <w:pPr>
        <w:pStyle w:val="Paragrafoelenco"/>
        <w:spacing w:line="360" w:lineRule="auto"/>
        <w:ind w:left="426"/>
        <w:jc w:val="both"/>
        <w:rPr>
          <w:b/>
          <w:bCs/>
          <w:color w:val="000000" w:themeColor="text1"/>
          <w:lang w:val="en-GB"/>
        </w:rPr>
      </w:pPr>
    </w:p>
    <w:p w14:paraId="3CF08835" w14:textId="77777777" w:rsidR="00A65F02" w:rsidRPr="004F507F" w:rsidRDefault="00A65F02" w:rsidP="00A03C62">
      <w:pPr>
        <w:spacing w:line="360" w:lineRule="auto"/>
        <w:contextualSpacing/>
        <w:rPr>
          <w:b/>
          <w:bCs/>
          <w:color w:val="000000" w:themeColor="text1"/>
          <w:sz w:val="27"/>
          <w:szCs w:val="27"/>
          <w:lang w:val="en-GB"/>
        </w:rPr>
      </w:pPr>
      <w:r w:rsidRPr="004F507F">
        <w:rPr>
          <w:b/>
          <w:bCs/>
          <w:color w:val="000000" w:themeColor="text1"/>
          <w:sz w:val="27"/>
          <w:szCs w:val="27"/>
          <w:lang w:val="en-GB"/>
        </w:rPr>
        <w:br w:type="page"/>
      </w:r>
    </w:p>
    <w:p w14:paraId="086F981C" w14:textId="1286156C" w:rsidR="002C52BA" w:rsidRPr="002F48D6" w:rsidRDefault="002C52BA" w:rsidP="002F48D6">
      <w:pPr>
        <w:widowControl w:val="0"/>
        <w:spacing w:after="80" w:line="240" w:lineRule="exact"/>
        <w:jc w:val="both"/>
        <w:rPr>
          <w:rFonts w:eastAsia="SimSun"/>
          <w:b/>
          <w:bCs/>
          <w:iCs/>
          <w:kern w:val="2"/>
          <w:sz w:val="20"/>
          <w:lang w:val="en-US" w:eastAsia="zh-CN"/>
        </w:rPr>
      </w:pPr>
      <w:r w:rsidRPr="002F48D6">
        <w:rPr>
          <w:rFonts w:eastAsia="SimSun"/>
          <w:b/>
          <w:bCs/>
          <w:iCs/>
          <w:kern w:val="2"/>
          <w:sz w:val="20"/>
          <w:lang w:val="en-US" w:eastAsia="zh-CN"/>
        </w:rPr>
        <w:lastRenderedPageBreak/>
        <w:t>1. Introduction</w:t>
      </w:r>
    </w:p>
    <w:p w14:paraId="211F2067" w14:textId="77777777" w:rsidR="00B161DB" w:rsidRPr="004F507F" w:rsidRDefault="00B161DB" w:rsidP="00A03C62">
      <w:pPr>
        <w:tabs>
          <w:tab w:val="left" w:pos="284"/>
        </w:tabs>
        <w:spacing w:before="100" w:beforeAutospacing="1" w:after="100" w:afterAutospacing="1" w:line="360" w:lineRule="auto"/>
        <w:ind w:firstLine="284"/>
        <w:contextualSpacing/>
        <w:jc w:val="both"/>
        <w:rPr>
          <w:color w:val="000000" w:themeColor="text1"/>
          <w:lang w:val="en-GB"/>
        </w:rPr>
      </w:pPr>
    </w:p>
    <w:p w14:paraId="553137FD" w14:textId="3B57D2D8" w:rsidR="002C52BA" w:rsidRPr="002F48D6" w:rsidRDefault="004F507F" w:rsidP="002F48D6">
      <w:pPr>
        <w:spacing w:afterLines="80" w:after="192" w:line="240" w:lineRule="exact"/>
        <w:ind w:firstLine="425"/>
        <w:contextualSpacing/>
        <w:jc w:val="both"/>
        <w:rPr>
          <w:sz w:val="20"/>
          <w:szCs w:val="20"/>
          <w:lang w:val="en-US"/>
        </w:rPr>
      </w:pPr>
      <w:r w:rsidRPr="002F48D6">
        <w:rPr>
          <w:sz w:val="20"/>
          <w:szCs w:val="20"/>
          <w:lang w:val="en-US"/>
        </w:rPr>
        <w:t>It is widely acknowledged that</w:t>
      </w:r>
      <w:r w:rsidR="002C52BA" w:rsidRPr="002F48D6">
        <w:rPr>
          <w:sz w:val="20"/>
          <w:szCs w:val="20"/>
          <w:lang w:val="en-US"/>
        </w:rPr>
        <w:t>, population aging refers to the increasing proportion of elderly individuals in society relative to younger cohorts (Riva et al., 2014). This phenomenon is also commonly referred to as the “</w:t>
      </w:r>
      <w:r w:rsidR="0086669D" w:rsidRPr="002F48D6">
        <w:rPr>
          <w:sz w:val="20"/>
          <w:szCs w:val="20"/>
          <w:lang w:val="en-US"/>
        </w:rPr>
        <w:t>grey</w:t>
      </w:r>
      <w:r w:rsidR="002C52BA" w:rsidRPr="002F48D6">
        <w:rPr>
          <w:sz w:val="20"/>
          <w:szCs w:val="20"/>
          <w:lang w:val="en-US"/>
        </w:rPr>
        <w:t xml:space="preserve"> tsunami,” highlighting the potentially profound impact that such demographic changes may have on national economies, healthcare systems, and social resources (Rayan et al., 2018; </w:t>
      </w:r>
      <w:proofErr w:type="spellStart"/>
      <w:r w:rsidR="002C52BA" w:rsidRPr="002F48D6">
        <w:rPr>
          <w:sz w:val="20"/>
          <w:szCs w:val="20"/>
          <w:lang w:val="en-US"/>
        </w:rPr>
        <w:t>Thiruchelvam</w:t>
      </w:r>
      <w:proofErr w:type="spellEnd"/>
      <w:r w:rsidR="002C52BA" w:rsidRPr="002F48D6">
        <w:rPr>
          <w:sz w:val="20"/>
          <w:szCs w:val="20"/>
          <w:lang w:val="en-US"/>
        </w:rPr>
        <w:t xml:space="preserve"> &amp; Tahir, 2021; Della Corte et al., 2022).</w:t>
      </w:r>
    </w:p>
    <w:p w14:paraId="706DE795" w14:textId="3F82499A"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 xml:space="preserve">The growing size of the elderly population can affect society in multiple ways. From an economic sustainability standpoint, a larger elderly demographic may place significant strain on social security and healthcare systems. As more individuals exit the </w:t>
      </w:r>
      <w:r w:rsidR="0086669D" w:rsidRPr="002F48D6">
        <w:rPr>
          <w:sz w:val="20"/>
          <w:szCs w:val="20"/>
          <w:lang w:val="en-US"/>
        </w:rPr>
        <w:t>labour</w:t>
      </w:r>
      <w:r w:rsidRPr="002F48D6">
        <w:rPr>
          <w:sz w:val="20"/>
          <w:szCs w:val="20"/>
          <w:lang w:val="en-US"/>
        </w:rPr>
        <w:t xml:space="preserve"> market, this results in a reduced workforce and increased pressure on pension systems, potentially necessitating reforms in funding mechanisms and care provision to ensure long-term economic sustainability.</w:t>
      </w:r>
    </w:p>
    <w:p w14:paraId="762B896B" w14:textId="4CDCF87D"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Given that older adults tend to experience higher rates of chronic illness and require more frequent medical care, this inevitably leads to increased healthcare expenditures and further pressure on national health systems. Governments and healthcare institutions must therefore be adequately prepared to meet the rising demand and ensure access to care for elderly individuals.</w:t>
      </w:r>
    </w:p>
    <w:p w14:paraId="66E6A4D7" w14:textId="5435A575"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Population aging also implies notable social transformations. For example, there may be increased demand for long-term care services, elder care facilities, and home care programs. Moreover, the prevalence of certain diseases (such as Alzheimer’s and other forms of dementia) may require dedicated resources and specialized services.</w:t>
      </w:r>
    </w:p>
    <w:p w14:paraId="1C54A327" w14:textId="29194F60"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To address these challenges, governments and societies will need to adopt long-term policies and strategies aimed at safeguarding economic sustainability, social welfare, and quality of life for elderly populations. These efforts should include promoting health and well-being among older adults, adapting pension systems, and developing appropriate healthcare and social services that cater to the evolving needs of an aging society.</w:t>
      </w:r>
    </w:p>
    <w:p w14:paraId="0F840193" w14:textId="16A3588F"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Urgent questions to be answered in this context concern the actual extent of vulnerability within the elderly demographic</w:t>
      </w:r>
      <w:r w:rsidR="00496774" w:rsidRPr="002F48D6">
        <w:rPr>
          <w:sz w:val="20"/>
          <w:szCs w:val="20"/>
          <w:lang w:val="en-US"/>
        </w:rPr>
        <w:t xml:space="preserve">, </w:t>
      </w:r>
      <w:r w:rsidRPr="002F48D6">
        <w:rPr>
          <w:sz w:val="20"/>
          <w:szCs w:val="20"/>
          <w:lang w:val="en-US"/>
        </w:rPr>
        <w:t>already more fragile than the general population</w:t>
      </w:r>
      <w:r w:rsidR="00496774" w:rsidRPr="002F48D6">
        <w:rPr>
          <w:sz w:val="20"/>
          <w:szCs w:val="20"/>
          <w:lang w:val="en-US"/>
        </w:rPr>
        <w:t xml:space="preserve">, </w:t>
      </w:r>
      <w:r w:rsidRPr="002F48D6">
        <w:rPr>
          <w:sz w:val="20"/>
          <w:szCs w:val="20"/>
          <w:lang w:val="en-US"/>
        </w:rPr>
        <w:t>as well as the geographical distribution of this vulnerability and its underlying socio-economic and financial causes.</w:t>
      </w:r>
    </w:p>
    <w:p w14:paraId="76458732" w14:textId="5473E9F7"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Recent findings from a survey on the Italian elderly population (</w:t>
      </w:r>
      <w:r w:rsidR="009E5A7D" w:rsidRPr="002F48D6">
        <w:rPr>
          <w:sz w:val="20"/>
          <w:szCs w:val="20"/>
          <w:lang w:val="en-US"/>
        </w:rPr>
        <w:t>Liotta et al</w:t>
      </w:r>
      <w:r w:rsidRPr="002F48D6">
        <w:rPr>
          <w:sz w:val="20"/>
          <w:szCs w:val="20"/>
          <w:lang w:val="en-US"/>
        </w:rPr>
        <w:t>, 20</w:t>
      </w:r>
      <w:r w:rsidR="009E5A7D" w:rsidRPr="002F48D6">
        <w:rPr>
          <w:sz w:val="20"/>
          <w:szCs w:val="20"/>
          <w:lang w:val="en-US"/>
        </w:rPr>
        <w:t>18</w:t>
      </w:r>
      <w:r w:rsidRPr="002F48D6">
        <w:rPr>
          <w:sz w:val="20"/>
          <w:szCs w:val="20"/>
          <w:lang w:val="en-US"/>
        </w:rPr>
        <w:t>) show that, out of every 100 individuals aged over 60, approximately 20 suffer from moderate to severe frailty. This corresponds to nearly four million elderly people with heightened socio-assistance needs. These citizens already require a diversified portfolio of services, structures, and healthcare professionals capable of providing long-term care, as well as financial products tailored to their specific investment or insurance needs. Most of these vulnerable elderly individuals reside, as expected, in the central and southern regions of the country, although notable exceptions exist and deserve further analysis. Profiling this population segment is thus essential to strengthening services where they least align with needs</w:t>
      </w:r>
      <w:r w:rsidR="00496774" w:rsidRPr="002F48D6">
        <w:rPr>
          <w:sz w:val="20"/>
          <w:szCs w:val="20"/>
          <w:lang w:val="en-US"/>
        </w:rPr>
        <w:t xml:space="preserve">, </w:t>
      </w:r>
      <w:r w:rsidRPr="002F48D6">
        <w:rPr>
          <w:sz w:val="20"/>
          <w:szCs w:val="20"/>
          <w:lang w:val="en-US"/>
        </w:rPr>
        <w:t>particularly in areas where social factors make frailty more endemic.</w:t>
      </w:r>
    </w:p>
    <w:p w14:paraId="67154639" w14:textId="1002A0DB" w:rsidR="002C52BA" w:rsidRPr="002F48D6" w:rsidRDefault="0086669D" w:rsidP="002F48D6">
      <w:pPr>
        <w:spacing w:afterLines="80" w:after="192" w:line="240" w:lineRule="exact"/>
        <w:ind w:firstLine="425"/>
        <w:contextualSpacing/>
        <w:jc w:val="both"/>
        <w:rPr>
          <w:sz w:val="20"/>
          <w:szCs w:val="20"/>
          <w:lang w:val="en-US"/>
        </w:rPr>
      </w:pPr>
      <w:r w:rsidRPr="002F48D6">
        <w:rPr>
          <w:sz w:val="20"/>
          <w:szCs w:val="20"/>
          <w:lang w:val="en-US"/>
        </w:rPr>
        <w:t>Considering</w:t>
      </w:r>
      <w:r w:rsidR="002C52BA" w:rsidRPr="002F48D6">
        <w:rPr>
          <w:sz w:val="20"/>
          <w:szCs w:val="20"/>
          <w:lang w:val="en-US"/>
        </w:rPr>
        <w:t xml:space="preserve"> the above, the elderly population inevitably constitutes one of the major challenges for financial markets (Lee et al., 2019; Xiao et al., 2015; Asebedo et al., 2019). Understanding how this demographic group makes investment and financing decisions is therefore crucial. For retired or soon-to-retire individuals, such decisions concern the management of personal financial assets</w:t>
      </w:r>
      <w:r w:rsidR="00496774" w:rsidRPr="002F48D6">
        <w:rPr>
          <w:sz w:val="20"/>
          <w:szCs w:val="20"/>
          <w:lang w:val="en-US"/>
        </w:rPr>
        <w:t xml:space="preserve">, </w:t>
      </w:r>
      <w:r w:rsidR="002C52BA" w:rsidRPr="002F48D6">
        <w:rPr>
          <w:sz w:val="20"/>
          <w:szCs w:val="20"/>
          <w:lang w:val="en-US"/>
        </w:rPr>
        <w:t>how much to save and how to invest to support themselves in old age, and in some cases, how to plan for intergenerational wealth transfer.</w:t>
      </w:r>
    </w:p>
    <w:p w14:paraId="000F54C8" w14:textId="3F8CD9E7"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Another debated issue involves older adults’ capacity to assume debt. Lower debt levels typically indicate greater financial security, especially given their likely dependence on fixed incomes</w:t>
      </w:r>
      <w:r w:rsidR="00F73D93" w:rsidRPr="002F48D6">
        <w:rPr>
          <w:sz w:val="20"/>
          <w:szCs w:val="20"/>
          <w:lang w:val="en-US"/>
        </w:rPr>
        <w:t xml:space="preserve">. In the 2015 report by the Pew Charitable Trusts, it is stated </w:t>
      </w:r>
      <w:r w:rsidRPr="002F48D6">
        <w:rPr>
          <w:sz w:val="20"/>
          <w:szCs w:val="20"/>
          <w:lang w:val="en-US"/>
        </w:rPr>
        <w:t>that older individuals who are still employed, particularly those with higher income levels, are more likely to incur debt and tend to have healthier household financial balances compared to their non-working peers with less income and wealth.</w:t>
      </w:r>
    </w:p>
    <w:p w14:paraId="57DF7D42" w14:textId="77777777"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Age is also closely linked to financial literacy. Individuals over 50 generally display limited knowledge of financial instruments, and only a small fraction engage in pension planning or consider themselves successful in doing so (Lusardi &amp; Mitchell, 2011).</w:t>
      </w:r>
    </w:p>
    <w:p w14:paraId="136A0FA9" w14:textId="3CA48603"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 xml:space="preserve">Despite growing scholarly interest in elderly consumers, relatively few studies have examined their </w:t>
      </w:r>
      <w:r w:rsidR="0086669D" w:rsidRPr="002F48D6">
        <w:rPr>
          <w:sz w:val="20"/>
          <w:szCs w:val="20"/>
          <w:lang w:val="en-US"/>
        </w:rPr>
        <w:t>behaviour</w:t>
      </w:r>
      <w:r w:rsidRPr="002F48D6">
        <w:rPr>
          <w:sz w:val="20"/>
          <w:szCs w:val="20"/>
          <w:lang w:val="en-US"/>
        </w:rPr>
        <w:t xml:space="preserve"> in financial decision-making, with some exceptions focused on active aging and cognitive capacity (Gamble et al., 2015). These works highlight how age-related cognitive decline may impair older adults’ financial decision-making capabilities. Consequently, financial markets must account for these limitations and develop a qualitative understanding of the elderly’s financial decision processes </w:t>
      </w:r>
      <w:r w:rsidR="0086669D" w:rsidRPr="002F48D6">
        <w:rPr>
          <w:sz w:val="20"/>
          <w:szCs w:val="20"/>
          <w:lang w:val="en-US"/>
        </w:rPr>
        <w:t>to</w:t>
      </w:r>
      <w:r w:rsidRPr="002F48D6">
        <w:rPr>
          <w:sz w:val="20"/>
          <w:szCs w:val="20"/>
          <w:lang w:val="en-US"/>
        </w:rPr>
        <w:t xml:space="preserve"> better assess risk profiles and suitable financial instruments.</w:t>
      </w:r>
    </w:p>
    <w:p w14:paraId="5B65F8B9" w14:textId="77777777"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The present study seeks to bridge this gap by offering a comprehensive literature review on the subject. This review aims to achieve two core objectives: (</w:t>
      </w:r>
      <w:proofErr w:type="spellStart"/>
      <w:r w:rsidRPr="002F48D6">
        <w:rPr>
          <w:sz w:val="20"/>
          <w:szCs w:val="20"/>
          <w:lang w:val="en-US"/>
        </w:rPr>
        <w:t>i</w:t>
      </w:r>
      <w:proofErr w:type="spellEnd"/>
      <w:r w:rsidRPr="002F48D6">
        <w:rPr>
          <w:sz w:val="20"/>
          <w:szCs w:val="20"/>
          <w:lang w:val="en-US"/>
        </w:rPr>
        <w:t>) to identify the main factors influencing financial decisions among the elderly, and (ii) to examine whether increased attention to elderly consumers allows financial institutions and firms to improve their Corporate Social Responsibility (CSR) practices and thus enhance Environmental, Social, and Governance (ESG) compliance.</w:t>
      </w:r>
    </w:p>
    <w:p w14:paraId="133E4C18" w14:textId="5CCF311A"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 xml:space="preserve">The paper is structured as follows. </w:t>
      </w:r>
      <w:r w:rsidR="00E21B47" w:rsidRPr="002F48D6">
        <w:rPr>
          <w:sz w:val="20"/>
          <w:szCs w:val="20"/>
          <w:lang w:val="en-US"/>
        </w:rPr>
        <w:t xml:space="preserve">In </w:t>
      </w:r>
      <w:r w:rsidRPr="002F48D6">
        <w:rPr>
          <w:sz w:val="20"/>
          <w:szCs w:val="20"/>
          <w:lang w:val="en-US"/>
        </w:rPr>
        <w:t xml:space="preserve">Section 2 </w:t>
      </w:r>
      <w:r w:rsidR="00E21B47" w:rsidRPr="002F48D6">
        <w:rPr>
          <w:sz w:val="20"/>
          <w:szCs w:val="20"/>
          <w:lang w:val="en-US"/>
        </w:rPr>
        <w:t xml:space="preserve">– Research Methodology - </w:t>
      </w:r>
      <w:r w:rsidR="007F48FD" w:rsidRPr="002F48D6">
        <w:rPr>
          <w:sz w:val="20"/>
          <w:szCs w:val="20"/>
          <w:lang w:val="en-US"/>
        </w:rPr>
        <w:t xml:space="preserve">a description of the </w:t>
      </w:r>
      <w:r w:rsidR="00E21B47" w:rsidRPr="002F48D6">
        <w:rPr>
          <w:sz w:val="20"/>
          <w:szCs w:val="20"/>
          <w:lang w:val="en-US"/>
        </w:rPr>
        <w:t>type of literature review used in the study</w:t>
      </w:r>
      <w:r w:rsidR="007F48FD" w:rsidRPr="002F48D6">
        <w:rPr>
          <w:sz w:val="20"/>
          <w:szCs w:val="20"/>
          <w:lang w:val="en-US"/>
        </w:rPr>
        <w:t xml:space="preserve">; Section 3 </w:t>
      </w:r>
      <w:r w:rsidRPr="002F48D6">
        <w:rPr>
          <w:sz w:val="20"/>
          <w:szCs w:val="20"/>
          <w:lang w:val="en-US"/>
        </w:rPr>
        <w:t xml:space="preserve">introduces the elderly as a vulnerable population that is not adequately supported by current welfare policies. Section </w:t>
      </w:r>
      <w:r w:rsidR="007F48FD" w:rsidRPr="002F48D6">
        <w:rPr>
          <w:sz w:val="20"/>
          <w:szCs w:val="20"/>
          <w:lang w:val="en-US"/>
        </w:rPr>
        <w:t>4</w:t>
      </w:r>
      <w:r w:rsidRPr="002F48D6">
        <w:rPr>
          <w:sz w:val="20"/>
          <w:szCs w:val="20"/>
          <w:lang w:val="en-US"/>
        </w:rPr>
        <w:t xml:space="preserve"> reviews the literature on elderly financial needs and corresponding investment choices. </w:t>
      </w:r>
      <w:r w:rsidRPr="002F48D6">
        <w:rPr>
          <w:sz w:val="20"/>
          <w:szCs w:val="20"/>
          <w:lang w:val="en-US"/>
        </w:rPr>
        <w:lastRenderedPageBreak/>
        <w:t xml:space="preserve">Section </w:t>
      </w:r>
      <w:r w:rsidR="007F48FD" w:rsidRPr="002F48D6">
        <w:rPr>
          <w:sz w:val="20"/>
          <w:szCs w:val="20"/>
          <w:lang w:val="en-US"/>
        </w:rPr>
        <w:t>5</w:t>
      </w:r>
      <w:r w:rsidRPr="002F48D6">
        <w:rPr>
          <w:sz w:val="20"/>
          <w:szCs w:val="20"/>
          <w:lang w:val="en-US"/>
        </w:rPr>
        <w:t xml:space="preserve"> examines the actual financial services available to older adults </w:t>
      </w:r>
      <w:r w:rsidR="0086669D" w:rsidRPr="002F48D6">
        <w:rPr>
          <w:sz w:val="20"/>
          <w:szCs w:val="20"/>
          <w:lang w:val="en-US"/>
        </w:rPr>
        <w:t>to</w:t>
      </w:r>
      <w:r w:rsidRPr="002F48D6">
        <w:rPr>
          <w:sz w:val="20"/>
          <w:szCs w:val="20"/>
          <w:lang w:val="en-US"/>
        </w:rPr>
        <w:t xml:space="preserve"> meet their needs. Section </w:t>
      </w:r>
      <w:r w:rsidR="007F48FD" w:rsidRPr="002F48D6">
        <w:rPr>
          <w:sz w:val="20"/>
          <w:szCs w:val="20"/>
          <w:lang w:val="en-US"/>
        </w:rPr>
        <w:t>6</w:t>
      </w:r>
      <w:r w:rsidRPr="002F48D6">
        <w:rPr>
          <w:sz w:val="20"/>
          <w:szCs w:val="20"/>
          <w:lang w:val="en-US"/>
        </w:rPr>
        <w:t xml:space="preserve"> shifts focus to the ESG domain, exploring the potential correlation between addressing elderly financial needs and increased CSR and ESG compliance among firms</w:t>
      </w:r>
      <w:r w:rsidR="00496774" w:rsidRPr="002F48D6">
        <w:rPr>
          <w:sz w:val="20"/>
          <w:szCs w:val="20"/>
          <w:lang w:val="en-US"/>
        </w:rPr>
        <w:t xml:space="preserve">, </w:t>
      </w:r>
      <w:r w:rsidRPr="002F48D6">
        <w:rPr>
          <w:sz w:val="20"/>
          <w:szCs w:val="20"/>
          <w:lang w:val="en-US"/>
        </w:rPr>
        <w:t xml:space="preserve">particularly financial intermediaries. Section </w:t>
      </w:r>
      <w:r w:rsidR="007F48FD" w:rsidRPr="002F48D6">
        <w:rPr>
          <w:sz w:val="20"/>
          <w:szCs w:val="20"/>
          <w:lang w:val="en-US"/>
        </w:rPr>
        <w:t>7</w:t>
      </w:r>
      <w:r w:rsidRPr="002F48D6">
        <w:rPr>
          <w:sz w:val="20"/>
          <w:szCs w:val="20"/>
          <w:lang w:val="en-US"/>
        </w:rPr>
        <w:t xml:space="preserve"> offers concluding remarks.</w:t>
      </w:r>
    </w:p>
    <w:p w14:paraId="0183497C" w14:textId="77777777" w:rsidR="00B90926" w:rsidRPr="002F48D6" w:rsidRDefault="00B90926" w:rsidP="002F48D6">
      <w:pPr>
        <w:spacing w:afterLines="80" w:after="192" w:line="240" w:lineRule="exact"/>
        <w:ind w:firstLine="425"/>
        <w:contextualSpacing/>
        <w:jc w:val="both"/>
        <w:rPr>
          <w:sz w:val="20"/>
          <w:szCs w:val="20"/>
          <w:lang w:val="en-US"/>
        </w:rPr>
      </w:pPr>
    </w:p>
    <w:p w14:paraId="1DDC4768" w14:textId="77777777" w:rsidR="00EA4317" w:rsidRPr="002F48D6" w:rsidRDefault="00EA4317" w:rsidP="002F48D6">
      <w:pPr>
        <w:widowControl w:val="0"/>
        <w:spacing w:after="80" w:line="240" w:lineRule="exact"/>
        <w:jc w:val="both"/>
        <w:rPr>
          <w:rFonts w:eastAsia="SimSun"/>
          <w:b/>
          <w:bCs/>
          <w:iCs/>
          <w:kern w:val="2"/>
          <w:sz w:val="20"/>
          <w:lang w:val="en-US" w:eastAsia="zh-CN"/>
        </w:rPr>
      </w:pPr>
      <w:r w:rsidRPr="002F48D6">
        <w:rPr>
          <w:rFonts w:eastAsia="SimSun"/>
          <w:b/>
          <w:bCs/>
          <w:iCs/>
          <w:kern w:val="2"/>
          <w:sz w:val="20"/>
          <w:lang w:val="en-US" w:eastAsia="zh-CN"/>
        </w:rPr>
        <w:t>2. Methodology approach</w:t>
      </w:r>
    </w:p>
    <w:p w14:paraId="26AC25F1" w14:textId="77777777" w:rsidR="00EA4317" w:rsidRPr="0090348E" w:rsidRDefault="00EA4317" w:rsidP="00EA4317">
      <w:pPr>
        <w:spacing w:afterLines="80" w:after="192" w:line="240" w:lineRule="exact"/>
        <w:ind w:firstLine="425"/>
        <w:contextualSpacing/>
        <w:jc w:val="both"/>
        <w:rPr>
          <w:sz w:val="20"/>
          <w:szCs w:val="20"/>
          <w:lang w:val="en-US"/>
        </w:rPr>
      </w:pPr>
    </w:p>
    <w:p w14:paraId="35385B21" w14:textId="77777777" w:rsidR="00EA4317" w:rsidRPr="002F48D6" w:rsidRDefault="00EA4317" w:rsidP="002F48D6">
      <w:pPr>
        <w:spacing w:afterLines="80" w:after="192" w:line="240" w:lineRule="exact"/>
        <w:ind w:firstLine="425"/>
        <w:contextualSpacing/>
        <w:jc w:val="both"/>
        <w:rPr>
          <w:sz w:val="20"/>
          <w:szCs w:val="20"/>
          <w:lang w:val="en-US"/>
        </w:rPr>
      </w:pPr>
      <w:r w:rsidRPr="002F48D6">
        <w:rPr>
          <w:sz w:val="20"/>
          <w:szCs w:val="20"/>
          <w:lang w:val="en-US"/>
        </w:rPr>
        <w:t xml:space="preserve">This study adopts an integrative literature review design to synthesise and reinterpret heterogeneous evidence drawn from finance, behavioural economics, gerontology, health policy, and CSR/ESG research. The integrative review, originally formalised by Whittemore and </w:t>
      </w:r>
      <w:proofErr w:type="spellStart"/>
      <w:r w:rsidRPr="002F48D6">
        <w:rPr>
          <w:sz w:val="20"/>
          <w:szCs w:val="20"/>
          <w:lang w:val="en-US"/>
        </w:rPr>
        <w:t>Knafl</w:t>
      </w:r>
      <w:proofErr w:type="spellEnd"/>
      <w:r w:rsidRPr="002F48D6">
        <w:rPr>
          <w:sz w:val="20"/>
          <w:szCs w:val="20"/>
          <w:lang w:val="en-US"/>
        </w:rPr>
        <w:t xml:space="preserve"> (2005), is particularly appropriate when the objective is to create a holistic understanding of a complex phenomenon by combining empirical and conceptual contributions that employ diverse methodologies.</w:t>
      </w:r>
    </w:p>
    <w:p w14:paraId="4E0CCCE4" w14:textId="77777777" w:rsidR="00EA4317" w:rsidRPr="002F48D6" w:rsidRDefault="00EA4317" w:rsidP="002F48D6">
      <w:pPr>
        <w:spacing w:afterLines="80" w:after="192" w:line="240" w:lineRule="exact"/>
        <w:ind w:firstLine="425"/>
        <w:contextualSpacing/>
        <w:jc w:val="both"/>
        <w:rPr>
          <w:sz w:val="20"/>
          <w:szCs w:val="20"/>
          <w:lang w:val="en-US"/>
        </w:rPr>
      </w:pPr>
      <w:r w:rsidRPr="002F48D6">
        <w:rPr>
          <w:sz w:val="20"/>
          <w:szCs w:val="20"/>
          <w:lang w:val="en-US"/>
        </w:rPr>
        <w:t>Compared with systematic or scoping reviews, the integrative approach provides the necessary flexibility to weave together quantitative findings (e.g., econometric studies on portfolio choice) and qualitative insights (e.g., interviews on perceived financial vulnerability), thereby generating new interpretative frameworks. In the context of the present article, such flexibility is essential to connect drivers of elderly financial decision‑making with corporate social responsibility (CSR) and environmental, social, and governance (ESG) considerations.</w:t>
      </w:r>
    </w:p>
    <w:p w14:paraId="5C1D20BE" w14:textId="77777777" w:rsidR="00EA4317" w:rsidRPr="002F48D6" w:rsidRDefault="00EA4317" w:rsidP="002F48D6">
      <w:pPr>
        <w:spacing w:afterLines="80" w:after="192" w:line="240" w:lineRule="exact"/>
        <w:ind w:firstLine="425"/>
        <w:contextualSpacing/>
        <w:jc w:val="both"/>
        <w:rPr>
          <w:sz w:val="20"/>
          <w:szCs w:val="20"/>
          <w:lang w:val="en-US"/>
        </w:rPr>
      </w:pPr>
    </w:p>
    <w:p w14:paraId="647DF1A9" w14:textId="77777777" w:rsidR="00EA4317" w:rsidRPr="002F48D6" w:rsidRDefault="00EA4317" w:rsidP="002F48D6">
      <w:pPr>
        <w:spacing w:afterLines="80" w:after="192" w:line="240" w:lineRule="exact"/>
        <w:ind w:firstLine="425"/>
        <w:contextualSpacing/>
        <w:jc w:val="both"/>
        <w:rPr>
          <w:sz w:val="20"/>
          <w:szCs w:val="20"/>
          <w:lang w:val="en-US"/>
        </w:rPr>
      </w:pPr>
      <w:r w:rsidRPr="002F48D6">
        <w:rPr>
          <w:sz w:val="20"/>
          <w:szCs w:val="20"/>
          <w:lang w:val="en-US"/>
        </w:rPr>
        <w:t>The review was structured around four key steps.</w:t>
      </w:r>
    </w:p>
    <w:p w14:paraId="4EACDC07" w14:textId="477958DD" w:rsidR="00EA4317" w:rsidRPr="002F48D6" w:rsidRDefault="00EA4317" w:rsidP="002F48D6">
      <w:pPr>
        <w:pStyle w:val="Paragrafoelenco"/>
        <w:numPr>
          <w:ilvl w:val="0"/>
          <w:numId w:val="23"/>
        </w:numPr>
        <w:spacing w:afterLines="80" w:after="192" w:line="240" w:lineRule="exact"/>
        <w:jc w:val="both"/>
        <w:rPr>
          <w:sz w:val="20"/>
          <w:szCs w:val="20"/>
          <w:lang w:val="en-US"/>
        </w:rPr>
      </w:pPr>
      <w:r w:rsidRPr="002F48D6">
        <w:rPr>
          <w:sz w:val="20"/>
          <w:szCs w:val="20"/>
          <w:lang w:val="en-US"/>
        </w:rPr>
        <w:t>Problem identification: two guiding questions were formulated: (</w:t>
      </w:r>
      <w:proofErr w:type="spellStart"/>
      <w:r w:rsidRPr="002F48D6">
        <w:rPr>
          <w:sz w:val="20"/>
          <w:szCs w:val="20"/>
          <w:lang w:val="en-US"/>
        </w:rPr>
        <w:t>i</w:t>
      </w:r>
      <w:proofErr w:type="spellEnd"/>
      <w:r w:rsidRPr="002F48D6">
        <w:rPr>
          <w:sz w:val="20"/>
          <w:szCs w:val="20"/>
          <w:lang w:val="en-US"/>
        </w:rPr>
        <w:t xml:space="preserve">) What determinants shape older adults’ financial decisions and risk profiles? (ii) How do those determinants intersect with CSR and ESG practices? A </w:t>
      </w:r>
      <w:proofErr w:type="spellStart"/>
      <w:r w:rsidRPr="002F48D6">
        <w:rPr>
          <w:sz w:val="20"/>
          <w:szCs w:val="20"/>
          <w:lang w:val="en-US"/>
        </w:rPr>
        <w:t>reliminary</w:t>
      </w:r>
      <w:proofErr w:type="spellEnd"/>
      <w:r w:rsidRPr="002F48D6">
        <w:rPr>
          <w:sz w:val="20"/>
          <w:szCs w:val="20"/>
          <w:lang w:val="en-US"/>
        </w:rPr>
        <w:t xml:space="preserve"> scan confirmed fragmentation across fields, reinforcing the need for an integrative synthesis.</w:t>
      </w:r>
    </w:p>
    <w:p w14:paraId="5881C724" w14:textId="77777777" w:rsidR="00EA4317" w:rsidRPr="002F48D6" w:rsidRDefault="00EA4317" w:rsidP="002F48D6">
      <w:pPr>
        <w:pStyle w:val="Paragrafoelenco"/>
        <w:numPr>
          <w:ilvl w:val="0"/>
          <w:numId w:val="23"/>
        </w:numPr>
        <w:spacing w:afterLines="80" w:after="192" w:line="240" w:lineRule="exact"/>
        <w:jc w:val="both"/>
        <w:rPr>
          <w:sz w:val="20"/>
          <w:szCs w:val="20"/>
          <w:lang w:val="en-US"/>
        </w:rPr>
      </w:pPr>
      <w:r w:rsidRPr="002F48D6">
        <w:rPr>
          <w:sz w:val="20"/>
          <w:szCs w:val="20"/>
          <w:lang w:val="en-US"/>
        </w:rPr>
        <w:t xml:space="preserve">Literature search: database searches (Scopus, Web of Science, </w:t>
      </w:r>
      <w:proofErr w:type="spellStart"/>
      <w:r w:rsidRPr="002F48D6">
        <w:rPr>
          <w:sz w:val="20"/>
          <w:szCs w:val="20"/>
          <w:lang w:val="en-US"/>
        </w:rPr>
        <w:t>EconLit</w:t>
      </w:r>
      <w:proofErr w:type="spellEnd"/>
      <w:r w:rsidRPr="002F48D6">
        <w:rPr>
          <w:sz w:val="20"/>
          <w:szCs w:val="20"/>
          <w:lang w:val="en-US"/>
        </w:rPr>
        <w:t>, PubMed, SSRN) were undertaken between in last twenty years. Core keyword blocks were combined with Boolean operators (e.g., “elder*” AND “financial decision*” AND “ESG”). Snowballing and citation alerts complemented the electronic search.</w:t>
      </w:r>
    </w:p>
    <w:p w14:paraId="05C19EAD" w14:textId="77777777" w:rsidR="00EA4317" w:rsidRPr="002F48D6" w:rsidRDefault="00EA4317" w:rsidP="002F48D6">
      <w:pPr>
        <w:pStyle w:val="Paragrafoelenco"/>
        <w:numPr>
          <w:ilvl w:val="0"/>
          <w:numId w:val="23"/>
        </w:numPr>
        <w:spacing w:afterLines="80" w:after="192" w:line="240" w:lineRule="exact"/>
        <w:jc w:val="both"/>
        <w:rPr>
          <w:sz w:val="20"/>
          <w:szCs w:val="20"/>
          <w:lang w:val="en-US"/>
        </w:rPr>
      </w:pPr>
      <w:r w:rsidRPr="002F48D6">
        <w:rPr>
          <w:sz w:val="20"/>
          <w:szCs w:val="20"/>
          <w:lang w:val="en-US"/>
        </w:rPr>
        <w:t>Data evaluation inclusion criteria: peer‑reviewed works published 1994–2025; focus on individuals aged 55+ or population ageing; empirical or theoretical relevance to finance, vulnerability or ESG. Grey literature was retained only when issued by reputable institutions (e.g., OECD, WHO). The authors independently screened titles, abstracts and full texts, resolving discrepancies through discussion.</w:t>
      </w:r>
    </w:p>
    <w:p w14:paraId="046D6763" w14:textId="57FD824D" w:rsidR="00DE359B" w:rsidRDefault="00EA4317" w:rsidP="002F48D6">
      <w:pPr>
        <w:pStyle w:val="Paragrafoelenco"/>
        <w:numPr>
          <w:ilvl w:val="0"/>
          <w:numId w:val="23"/>
        </w:numPr>
        <w:spacing w:afterLines="80" w:after="192" w:line="240" w:lineRule="exact"/>
        <w:jc w:val="both"/>
        <w:rPr>
          <w:sz w:val="20"/>
          <w:szCs w:val="20"/>
          <w:lang w:val="en-US"/>
        </w:rPr>
      </w:pPr>
      <w:r w:rsidRPr="002F48D6">
        <w:rPr>
          <w:sz w:val="20"/>
          <w:szCs w:val="20"/>
          <w:lang w:val="en-US"/>
        </w:rPr>
        <w:t>Presentation &amp; synthesis Sections </w:t>
      </w:r>
      <w:r w:rsidR="002F48D6">
        <w:rPr>
          <w:sz w:val="20"/>
          <w:szCs w:val="20"/>
          <w:lang w:val="en-US"/>
        </w:rPr>
        <w:t>3</w:t>
      </w:r>
      <w:r w:rsidRPr="002F48D6">
        <w:rPr>
          <w:sz w:val="20"/>
          <w:szCs w:val="20"/>
          <w:lang w:val="en-US"/>
        </w:rPr>
        <w:t>–</w:t>
      </w:r>
      <w:r w:rsidR="002F48D6">
        <w:rPr>
          <w:sz w:val="20"/>
          <w:szCs w:val="20"/>
          <w:lang w:val="en-US"/>
        </w:rPr>
        <w:t>6</w:t>
      </w:r>
      <w:r w:rsidRPr="002F48D6">
        <w:rPr>
          <w:sz w:val="20"/>
          <w:szCs w:val="20"/>
          <w:lang w:val="en-US"/>
        </w:rPr>
        <w:t xml:space="preserve"> of the article reports the </w:t>
      </w:r>
      <w:proofErr w:type="spellStart"/>
      <w:r w:rsidRPr="002F48D6">
        <w:rPr>
          <w:sz w:val="20"/>
          <w:szCs w:val="20"/>
          <w:lang w:val="en-US"/>
        </w:rPr>
        <w:t>synthesised</w:t>
      </w:r>
      <w:proofErr w:type="spellEnd"/>
      <w:r w:rsidRPr="002F48D6">
        <w:rPr>
          <w:sz w:val="20"/>
          <w:szCs w:val="20"/>
          <w:lang w:val="en-US"/>
        </w:rPr>
        <w:t xml:space="preserve"> evidence.</w:t>
      </w:r>
    </w:p>
    <w:p w14:paraId="1C6BD257" w14:textId="77777777" w:rsidR="002F48D6" w:rsidRPr="002F48D6" w:rsidRDefault="002F48D6" w:rsidP="002F48D6">
      <w:pPr>
        <w:spacing w:afterLines="80" w:after="192" w:line="240" w:lineRule="exact"/>
        <w:ind w:firstLine="425"/>
        <w:contextualSpacing/>
        <w:jc w:val="both"/>
        <w:rPr>
          <w:sz w:val="20"/>
          <w:szCs w:val="20"/>
          <w:lang w:val="en-US"/>
        </w:rPr>
      </w:pPr>
    </w:p>
    <w:p w14:paraId="28D4DD45" w14:textId="550B467E" w:rsidR="002C52BA" w:rsidRPr="002F48D6" w:rsidRDefault="00DE359B" w:rsidP="002F48D6">
      <w:pPr>
        <w:widowControl w:val="0"/>
        <w:spacing w:after="80" w:line="240" w:lineRule="exact"/>
        <w:jc w:val="both"/>
        <w:rPr>
          <w:rFonts w:eastAsia="SimSun"/>
          <w:b/>
          <w:bCs/>
          <w:iCs/>
          <w:kern w:val="2"/>
          <w:sz w:val="20"/>
          <w:lang w:val="en-US" w:eastAsia="zh-CN"/>
        </w:rPr>
      </w:pPr>
      <w:r w:rsidRPr="002F48D6">
        <w:rPr>
          <w:rFonts w:eastAsia="SimSun"/>
          <w:b/>
          <w:bCs/>
          <w:iCs/>
          <w:kern w:val="2"/>
          <w:sz w:val="20"/>
          <w:lang w:val="en-US" w:eastAsia="zh-CN"/>
        </w:rPr>
        <w:t xml:space="preserve">3. </w:t>
      </w:r>
      <w:r w:rsidR="002C52BA" w:rsidRPr="002F48D6">
        <w:rPr>
          <w:rFonts w:eastAsia="SimSun"/>
          <w:b/>
          <w:bCs/>
          <w:iCs/>
          <w:kern w:val="2"/>
          <w:sz w:val="20"/>
          <w:lang w:val="en-US" w:eastAsia="zh-CN"/>
        </w:rPr>
        <w:t>The Elderly: A Vulnerable Population</w:t>
      </w:r>
    </w:p>
    <w:p w14:paraId="472C2434" w14:textId="77777777" w:rsidR="001517FC" w:rsidRPr="002F48D6" w:rsidRDefault="001517FC" w:rsidP="002F48D6">
      <w:pPr>
        <w:spacing w:afterLines="80" w:after="192" w:line="240" w:lineRule="exact"/>
        <w:ind w:firstLine="425"/>
        <w:contextualSpacing/>
        <w:jc w:val="both"/>
        <w:rPr>
          <w:sz w:val="20"/>
          <w:szCs w:val="20"/>
          <w:lang w:val="en-US"/>
        </w:rPr>
      </w:pPr>
    </w:p>
    <w:p w14:paraId="7A26AC0F" w14:textId="1DB27F91"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 xml:space="preserve">In recent years, the term vulnerability has become increasingly prevalent, especially </w:t>
      </w:r>
      <w:r w:rsidR="0086669D" w:rsidRPr="002F48D6">
        <w:rPr>
          <w:sz w:val="20"/>
          <w:szCs w:val="20"/>
          <w:lang w:val="en-US"/>
        </w:rPr>
        <w:t>considering</w:t>
      </w:r>
      <w:r w:rsidRPr="002F48D6">
        <w:rPr>
          <w:sz w:val="20"/>
          <w:szCs w:val="20"/>
          <w:lang w:val="en-US"/>
        </w:rPr>
        <w:t xml:space="preserve"> recent global health crises. However, it lies at the core of any serious attempt to address elderly social care needs and the adequacy of long-term care services, including those of a financial nature.</w:t>
      </w:r>
    </w:p>
    <w:p w14:paraId="7971A94C" w14:textId="77777777"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Globally, frail older adults represent the demographic most adversely affected by the latest pandemic. Even outside such extreme scenarios, this group is disproportionately impacted by seasonal illnesses and extreme weather events (e.g., heatwaves, cold spells).</w:t>
      </w:r>
    </w:p>
    <w:p w14:paraId="68CBB2A0" w14:textId="17831A0C"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A focused analysis of Italy</w:t>
      </w:r>
      <w:r w:rsidR="00496774" w:rsidRPr="002F48D6">
        <w:rPr>
          <w:sz w:val="20"/>
          <w:szCs w:val="20"/>
          <w:lang w:val="en-US"/>
        </w:rPr>
        <w:t xml:space="preserve">, </w:t>
      </w:r>
      <w:r w:rsidRPr="002F48D6">
        <w:rPr>
          <w:sz w:val="20"/>
          <w:szCs w:val="20"/>
          <w:lang w:val="en-US"/>
        </w:rPr>
        <w:t>a developed nation</w:t>
      </w:r>
      <w:r w:rsidR="00496774" w:rsidRPr="002F48D6">
        <w:rPr>
          <w:sz w:val="20"/>
          <w:szCs w:val="20"/>
          <w:lang w:val="en-US"/>
        </w:rPr>
        <w:t xml:space="preserve">, </w:t>
      </w:r>
      <w:r w:rsidRPr="002F48D6">
        <w:rPr>
          <w:sz w:val="20"/>
          <w:szCs w:val="20"/>
          <w:lang w:val="en-US"/>
        </w:rPr>
        <w:t>reveals that the expansion of integrated home care services is progressing slowly. In 2021, only 403,003 individuals over 65, representing just under 2.9% of the elderly Italian population, received home care services (ISTAT, 2023). Moreover, the geographical distribution of such services is highly uneven, and the intensity of care varies significantly across regions.</w:t>
      </w:r>
    </w:p>
    <w:p w14:paraId="6B39B07D" w14:textId="70DE1E5D"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In line with healthcare policies adopted in many European countries</w:t>
      </w:r>
      <w:r w:rsidR="00496774" w:rsidRPr="002F48D6">
        <w:rPr>
          <w:sz w:val="20"/>
          <w:szCs w:val="20"/>
          <w:lang w:val="en-US"/>
        </w:rPr>
        <w:t xml:space="preserve">, </w:t>
      </w:r>
      <w:r w:rsidRPr="002F48D6">
        <w:rPr>
          <w:sz w:val="20"/>
          <w:szCs w:val="20"/>
          <w:lang w:val="en-US"/>
        </w:rPr>
        <w:t>where the home is considered the preferred site for care</w:t>
      </w:r>
      <w:r w:rsidR="00496774" w:rsidRPr="002F48D6">
        <w:rPr>
          <w:sz w:val="20"/>
          <w:szCs w:val="20"/>
          <w:lang w:val="en-US"/>
        </w:rPr>
        <w:t xml:space="preserve">, </w:t>
      </w:r>
      <w:r w:rsidRPr="002F48D6">
        <w:rPr>
          <w:sz w:val="20"/>
          <w:szCs w:val="20"/>
          <w:lang w:val="en-US"/>
        </w:rPr>
        <w:t>the expansion of residential care facilities has been steadily declining.</w:t>
      </w:r>
    </w:p>
    <w:p w14:paraId="41D0E168" w14:textId="77777777"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 xml:space="preserve">Italia Longeva (2023), in collaboration with the Italian Society of General Medicine, the Karolinska </w:t>
      </w:r>
      <w:proofErr w:type="spellStart"/>
      <w:r w:rsidRPr="002F48D6">
        <w:rPr>
          <w:sz w:val="20"/>
          <w:szCs w:val="20"/>
          <w:lang w:val="en-US"/>
        </w:rPr>
        <w:t>Institutet</w:t>
      </w:r>
      <w:proofErr w:type="spellEnd"/>
      <w:r w:rsidRPr="002F48D6">
        <w:rPr>
          <w:sz w:val="20"/>
          <w:szCs w:val="20"/>
          <w:lang w:val="en-US"/>
        </w:rPr>
        <w:t xml:space="preserve"> in Stockholm, and the Cardiovascular, Metabolic, and Aging Diseases Department of the </w:t>
      </w:r>
      <w:proofErr w:type="spellStart"/>
      <w:r w:rsidRPr="002F48D6">
        <w:rPr>
          <w:sz w:val="20"/>
          <w:szCs w:val="20"/>
          <w:lang w:val="en-US"/>
        </w:rPr>
        <w:t>Istituto</w:t>
      </w:r>
      <w:proofErr w:type="spellEnd"/>
      <w:r w:rsidRPr="002F48D6">
        <w:rPr>
          <w:sz w:val="20"/>
          <w:szCs w:val="20"/>
          <w:lang w:val="en-US"/>
        </w:rPr>
        <w:t xml:space="preserve"> Superiore di Sanità, conducted a study aimed at mapping frailty among Italians over 60 using data from 2019. A validated index was employed to stratify the population by degree of frailty. The results showed that 35.5% of those over 60 were mildly frail, 14.4% moderately frail, and 6.5% severely frail.</w:t>
      </w:r>
    </w:p>
    <w:p w14:paraId="056ED142" w14:textId="77777777"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Provinces with the highest rates of severe frailty were mainly located in southern Italy, although vulnerability is not exclusive to these regions. Geographic location alone cannot fully account for the distribution of frailty across the country. To investigate further, a correlation analysis was conducted between average per capita taxable income and the proportion of severely frail individuals over 60. The results demonstrated a strong inverse correlation between socioeconomic status and measured frailty, though significant exceptions persist.</w:t>
      </w:r>
    </w:p>
    <w:p w14:paraId="3AE6875F" w14:textId="08C1949C"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International studies have yielded similar results. Although improved living conditions in developed countries have led to higher life expectancy, a significant proportion of the elderly population continues to live in poverty.</w:t>
      </w:r>
    </w:p>
    <w:p w14:paraId="20200B0E" w14:textId="61A14E03"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lastRenderedPageBreak/>
        <w:t>These findings underscore the urgent need to identify the most influential</w:t>
      </w:r>
      <w:r w:rsidR="00496774" w:rsidRPr="002F48D6">
        <w:rPr>
          <w:sz w:val="20"/>
          <w:szCs w:val="20"/>
          <w:lang w:val="en-US"/>
        </w:rPr>
        <w:t xml:space="preserve">, </w:t>
      </w:r>
      <w:r w:rsidRPr="002F48D6">
        <w:rPr>
          <w:sz w:val="20"/>
          <w:szCs w:val="20"/>
          <w:lang w:val="en-US"/>
        </w:rPr>
        <w:t>and, crucially, modifiable</w:t>
      </w:r>
      <w:r w:rsidR="00496774" w:rsidRPr="002F48D6">
        <w:rPr>
          <w:sz w:val="20"/>
          <w:szCs w:val="20"/>
          <w:lang w:val="en-US"/>
        </w:rPr>
        <w:t xml:space="preserve">, </w:t>
      </w:r>
      <w:r w:rsidRPr="002F48D6">
        <w:rPr>
          <w:sz w:val="20"/>
          <w:szCs w:val="20"/>
          <w:lang w:val="en-US"/>
        </w:rPr>
        <w:t>determinants of elderly frailty. International research has shown that early identification of vulnerable individuals within a community is essential for enabling timely and effective interventions, including personalized care pathways that alleviate pressure on already burdened healthcare systems.</w:t>
      </w:r>
    </w:p>
    <w:p w14:paraId="39D570AE" w14:textId="59BA086C"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Large-scale implementation of validated tools for measuring frailty is vital</w:t>
      </w:r>
      <w:r w:rsidR="00496774" w:rsidRPr="002F48D6">
        <w:rPr>
          <w:sz w:val="20"/>
          <w:szCs w:val="20"/>
          <w:lang w:val="en-US"/>
        </w:rPr>
        <w:t xml:space="preserve">, </w:t>
      </w:r>
      <w:r w:rsidRPr="002F48D6">
        <w:rPr>
          <w:sz w:val="20"/>
          <w:szCs w:val="20"/>
          <w:lang w:val="en-US"/>
        </w:rPr>
        <w:t>not only for quantifying elderly care and financial needs but also for enabling proper planning of national and regional healthcare systems. Given the ongoing reforms to community healthcare and the increasing capacity to monitor individual needs, initiatives that already provide robust tools for profiling elderly socioeconomic vulnerabilities deserve greater attention and support.</w:t>
      </w:r>
    </w:p>
    <w:p w14:paraId="4C5AE53F" w14:textId="77777777"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Traditionally, older adults have been regarded as a socially and economically weaker group, often targeted by protective legislation and support services.</w:t>
      </w:r>
    </w:p>
    <w:p w14:paraId="2BF131A1" w14:textId="77777777"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A further cause for concern is the global trend of declining public funding for social protection (e.g., pensions, benefits), especially following recent financial crises (Oehler &amp; Werner, 2008), despite the notable increase in elderly populations due to healthcare advancements.</w:t>
      </w:r>
    </w:p>
    <w:p w14:paraId="14535D26" w14:textId="7D67476B"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Elderly financial vulnerability remains a significant societal concern. Many older adults depend on pensions as their primary income source, which may be insufficient to cover rising costs for essentials such as food, healthcare, and housing. In some cases, pensions fail to reflect prior working life contributions, often due to fragmented careers, unemployment, or self-employment outside of pension schemes. Furthermore, low wages, lack of savings mechanisms, or unexpected expenses may leave retirees with insufficient financial resources. Medical expenses</w:t>
      </w:r>
      <w:r w:rsidR="00496774" w:rsidRPr="002F48D6">
        <w:rPr>
          <w:sz w:val="20"/>
          <w:szCs w:val="20"/>
          <w:lang w:val="en-US"/>
        </w:rPr>
        <w:t xml:space="preserve">, </w:t>
      </w:r>
      <w:r w:rsidRPr="002F48D6">
        <w:rPr>
          <w:sz w:val="20"/>
          <w:szCs w:val="20"/>
          <w:lang w:val="en-US"/>
        </w:rPr>
        <w:t>including long-term care, medications, and devices</w:t>
      </w:r>
      <w:r w:rsidR="00496774" w:rsidRPr="002F48D6">
        <w:rPr>
          <w:sz w:val="20"/>
          <w:szCs w:val="20"/>
          <w:lang w:val="en-US"/>
        </w:rPr>
        <w:t xml:space="preserve">, </w:t>
      </w:r>
      <w:r w:rsidRPr="002F48D6">
        <w:rPr>
          <w:sz w:val="20"/>
          <w:szCs w:val="20"/>
          <w:lang w:val="en-US"/>
        </w:rPr>
        <w:t>also increase with age and can jeopardize financial stability. Additionally, older adults are frequently targeted by scams, which can cause severe financial harm.</w:t>
      </w:r>
    </w:p>
    <w:p w14:paraId="115FA0A2" w14:textId="77777777" w:rsidR="002C52BA"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Addressing financial vulnerability among the elderly requires a holistic approach involving governments, financial institutions, non-profits, and families. Financial literacy initiatives, adequate support programs, and targeted policy interventions are essential. Families also play a crucial role in offering financial and emotional support to elderly members.</w:t>
      </w:r>
    </w:p>
    <w:p w14:paraId="0B9B7E7F" w14:textId="24A6C4AF" w:rsidR="007803E4" w:rsidRPr="002F48D6" w:rsidRDefault="002C52BA" w:rsidP="002F48D6">
      <w:pPr>
        <w:spacing w:afterLines="80" w:after="192" w:line="240" w:lineRule="exact"/>
        <w:ind w:firstLine="425"/>
        <w:contextualSpacing/>
        <w:jc w:val="both"/>
        <w:rPr>
          <w:sz w:val="20"/>
          <w:szCs w:val="20"/>
          <w:lang w:val="en-US"/>
        </w:rPr>
      </w:pPr>
      <w:r w:rsidRPr="002F48D6">
        <w:rPr>
          <w:sz w:val="20"/>
          <w:szCs w:val="20"/>
          <w:lang w:val="en-US"/>
        </w:rPr>
        <w:t>In summary, safeguarding the dignity and financial well-being of the elderly is vital. Ensuring their access to adequate resources enables them to meet basic needs and maintain a dignified quality of life throughout their retirement years.</w:t>
      </w:r>
    </w:p>
    <w:p w14:paraId="33186885" w14:textId="77777777" w:rsidR="00DE359B" w:rsidRPr="002F48D6" w:rsidRDefault="00DE359B" w:rsidP="002F48D6">
      <w:pPr>
        <w:spacing w:afterLines="80" w:after="192" w:line="240" w:lineRule="exact"/>
        <w:contextualSpacing/>
        <w:jc w:val="both"/>
        <w:rPr>
          <w:sz w:val="20"/>
          <w:szCs w:val="20"/>
          <w:lang w:val="en-US"/>
        </w:rPr>
      </w:pPr>
    </w:p>
    <w:p w14:paraId="5E80F056" w14:textId="39A16AFA" w:rsidR="00A03C62" w:rsidRDefault="00DE359B" w:rsidP="002F48D6">
      <w:pPr>
        <w:widowControl w:val="0"/>
        <w:spacing w:after="80" w:line="240" w:lineRule="exact"/>
        <w:jc w:val="both"/>
        <w:rPr>
          <w:rFonts w:eastAsia="SimSun"/>
          <w:b/>
          <w:bCs/>
          <w:iCs/>
          <w:kern w:val="2"/>
          <w:sz w:val="20"/>
          <w:lang w:val="en-US" w:eastAsia="zh-CN"/>
        </w:rPr>
      </w:pPr>
      <w:r w:rsidRPr="002F48D6">
        <w:rPr>
          <w:rFonts w:eastAsia="SimSun"/>
          <w:b/>
          <w:bCs/>
          <w:iCs/>
          <w:kern w:val="2"/>
          <w:sz w:val="20"/>
          <w:lang w:val="en-US" w:eastAsia="zh-CN"/>
        </w:rPr>
        <w:t xml:space="preserve">4. </w:t>
      </w:r>
      <w:r w:rsidR="006B762A" w:rsidRPr="002F48D6">
        <w:rPr>
          <w:rFonts w:eastAsia="SimSun"/>
          <w:b/>
          <w:bCs/>
          <w:iCs/>
          <w:kern w:val="2"/>
          <w:sz w:val="20"/>
          <w:lang w:val="en-US" w:eastAsia="zh-CN"/>
        </w:rPr>
        <w:t xml:space="preserve"> </w:t>
      </w:r>
      <w:r w:rsidR="00C11FCA" w:rsidRPr="002F48D6">
        <w:rPr>
          <w:rFonts w:eastAsia="SimSun"/>
          <w:b/>
          <w:bCs/>
          <w:iCs/>
          <w:kern w:val="2"/>
          <w:sz w:val="20"/>
          <w:lang w:val="en-US" w:eastAsia="zh-CN"/>
        </w:rPr>
        <w:t>Elderly people's financial needs and drivers of investment decisions</w:t>
      </w:r>
    </w:p>
    <w:p w14:paraId="10F6319F" w14:textId="77777777" w:rsidR="002F48D6" w:rsidRPr="002F48D6" w:rsidRDefault="002F48D6" w:rsidP="002F48D6">
      <w:pPr>
        <w:spacing w:afterLines="80" w:after="192" w:line="240" w:lineRule="exact"/>
        <w:ind w:firstLine="425"/>
        <w:contextualSpacing/>
        <w:jc w:val="both"/>
        <w:rPr>
          <w:sz w:val="20"/>
          <w:szCs w:val="20"/>
          <w:lang w:val="en-US"/>
        </w:rPr>
      </w:pPr>
    </w:p>
    <w:p w14:paraId="1F4C15AB" w14:textId="668EB6B2"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 xml:space="preserve">The progressive aging of the population has led to a growing demand for investment options among middle-aged and elderly individuals. Several studies </w:t>
      </w:r>
      <w:r w:rsidR="00EC5971" w:rsidRPr="002F48D6">
        <w:rPr>
          <w:sz w:val="20"/>
          <w:szCs w:val="20"/>
          <w:lang w:val="en-US"/>
        </w:rPr>
        <w:t>(</w:t>
      </w:r>
      <w:r w:rsidR="0091707F" w:rsidRPr="002F48D6">
        <w:rPr>
          <w:sz w:val="20"/>
          <w:szCs w:val="20"/>
          <w:lang w:val="en-US"/>
        </w:rPr>
        <w:t>Dunne &amp; Turley, 1997; Lee et al., 2019, Diao &amp; Zeng, 2020</w:t>
      </w:r>
      <w:r w:rsidR="00EC5971" w:rsidRPr="002F48D6">
        <w:rPr>
          <w:sz w:val="20"/>
          <w:szCs w:val="20"/>
          <w:lang w:val="en-US"/>
        </w:rPr>
        <w:t xml:space="preserve">) </w:t>
      </w:r>
      <w:r w:rsidRPr="002F48D6">
        <w:rPr>
          <w:sz w:val="20"/>
          <w:szCs w:val="20"/>
          <w:lang w:val="en-US"/>
        </w:rPr>
        <w:t>have identified older adults as crucial investors for the future development of the investment sector, owing to their relatively stable savings and an increasing propensity to invest. Developing a financial market that effectively meets the needs of this demographic is therefore essential for promoting sustainable economic growth.</w:t>
      </w:r>
    </w:p>
    <w:p w14:paraId="13E9C8E0" w14:textId="77777777"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Currently, investment products tailored to this age group suffer from inadequate promotion, limited relevance, and insufficient customization, thereby failing to address their specific needs effectively.</w:t>
      </w:r>
    </w:p>
    <w:p w14:paraId="4CB773F4" w14:textId="6BCCE03E"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 xml:space="preserve">Understanding the factors influencing the financial decisions and investment </w:t>
      </w:r>
      <w:r w:rsidR="0086669D" w:rsidRPr="002F48D6">
        <w:rPr>
          <w:sz w:val="20"/>
          <w:szCs w:val="20"/>
          <w:lang w:val="en-US"/>
        </w:rPr>
        <w:t>behaviours</w:t>
      </w:r>
      <w:r w:rsidRPr="002F48D6">
        <w:rPr>
          <w:sz w:val="20"/>
          <w:szCs w:val="20"/>
          <w:lang w:val="en-US"/>
        </w:rPr>
        <w:t xml:space="preserve"> of older adults can provide practical insights for financial institutions, guiding the development of more appropriate financial products and services for this segment of the population.</w:t>
      </w:r>
    </w:p>
    <w:p w14:paraId="7484CF67" w14:textId="34700051"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 xml:space="preserve">Extensive literature in the field identifies several key determinants of investment decisions among the elderly, including risk tolerance, personal and household economic conditions, consumption preferences, age, gender, herding </w:t>
      </w:r>
      <w:r w:rsidR="0086669D" w:rsidRPr="002F48D6">
        <w:rPr>
          <w:sz w:val="20"/>
          <w:szCs w:val="20"/>
          <w:lang w:val="en-US"/>
        </w:rPr>
        <w:t>behaviour</w:t>
      </w:r>
      <w:r w:rsidRPr="002F48D6">
        <w:rPr>
          <w:sz w:val="20"/>
          <w:szCs w:val="20"/>
          <w:lang w:val="en-US"/>
        </w:rPr>
        <w:t>, financial literacy, and vulnerability to fraud.</w:t>
      </w:r>
    </w:p>
    <w:p w14:paraId="46A84F90" w14:textId="0783271F" w:rsidR="00B90926" w:rsidRPr="002F48D6" w:rsidRDefault="0086669D" w:rsidP="002F48D6">
      <w:pPr>
        <w:spacing w:afterLines="80" w:after="192" w:line="240" w:lineRule="exact"/>
        <w:ind w:firstLine="425"/>
        <w:contextualSpacing/>
        <w:jc w:val="both"/>
        <w:rPr>
          <w:sz w:val="20"/>
          <w:szCs w:val="20"/>
          <w:lang w:val="en-US"/>
        </w:rPr>
      </w:pPr>
      <w:r w:rsidRPr="002F48D6">
        <w:rPr>
          <w:sz w:val="20"/>
          <w:szCs w:val="20"/>
          <w:lang w:val="en-US"/>
        </w:rPr>
        <w:t>Regarding</w:t>
      </w:r>
      <w:r w:rsidR="006B762A" w:rsidRPr="002F48D6">
        <w:rPr>
          <w:sz w:val="20"/>
          <w:szCs w:val="20"/>
          <w:lang w:val="en-US"/>
        </w:rPr>
        <w:t xml:space="preserve"> risk tolerance, expected utility theory suggests that individuals’ risk preferences reflect their efforts to maximize anticipated outcomes, playing a key role in investment </w:t>
      </w:r>
      <w:r w:rsidRPr="002F48D6">
        <w:rPr>
          <w:sz w:val="20"/>
          <w:szCs w:val="20"/>
          <w:lang w:val="en-US"/>
        </w:rPr>
        <w:t>behaviour</w:t>
      </w:r>
      <w:r w:rsidR="006B762A" w:rsidRPr="002F48D6">
        <w:rPr>
          <w:sz w:val="20"/>
          <w:szCs w:val="20"/>
          <w:lang w:val="en-US"/>
        </w:rPr>
        <w:t xml:space="preserve">. Specific patterns emerge among the elderly. Bakshi and Chen (1994) argue that older individuals are more </w:t>
      </w:r>
      <w:r w:rsidRPr="002F48D6">
        <w:rPr>
          <w:sz w:val="20"/>
          <w:szCs w:val="20"/>
          <w:lang w:val="en-US"/>
        </w:rPr>
        <w:t>risk averse</w:t>
      </w:r>
      <w:r w:rsidR="006B762A" w:rsidRPr="002F48D6">
        <w:rPr>
          <w:sz w:val="20"/>
          <w:szCs w:val="20"/>
          <w:lang w:val="en-US"/>
        </w:rPr>
        <w:t xml:space="preserve">. Generally, younger people are more willing to take financial risks, given their relatively stable income and greater physical energy to invest in their future. As people age, physical capacities deteriorate, income often declines, and the desire for wealth accumulation diminishes. Consequently, risk aversion increases while tolerance for risk decreases, leading older individuals to </w:t>
      </w:r>
      <w:r w:rsidRPr="002F48D6">
        <w:rPr>
          <w:sz w:val="20"/>
          <w:szCs w:val="20"/>
          <w:lang w:val="en-US"/>
        </w:rPr>
        <w:t>favour</w:t>
      </w:r>
      <w:r w:rsidR="006B762A" w:rsidRPr="002F48D6">
        <w:rPr>
          <w:sz w:val="20"/>
          <w:szCs w:val="20"/>
          <w:lang w:val="en-US"/>
        </w:rPr>
        <w:t xml:space="preserve"> safer financial instruments (Fan &amp; Zhao, 2009).</w:t>
      </w:r>
      <w:r w:rsidR="00B90926" w:rsidRPr="002F48D6">
        <w:rPr>
          <w:sz w:val="20"/>
          <w:szCs w:val="20"/>
          <w:lang w:val="en-US"/>
        </w:rPr>
        <w:t xml:space="preserve"> </w:t>
      </w:r>
      <w:r w:rsidR="006B762A" w:rsidRPr="002F48D6">
        <w:rPr>
          <w:sz w:val="20"/>
          <w:szCs w:val="20"/>
          <w:lang w:val="en-US"/>
        </w:rPr>
        <w:t>Salisbury (1986) examined individuals aged 55–64</w:t>
      </w:r>
      <w:r w:rsidR="00496774" w:rsidRPr="002F48D6">
        <w:rPr>
          <w:sz w:val="20"/>
          <w:szCs w:val="20"/>
          <w:lang w:val="en-US"/>
        </w:rPr>
        <w:t xml:space="preserve">, </w:t>
      </w:r>
      <w:r w:rsidR="006B762A" w:rsidRPr="002F48D6">
        <w:rPr>
          <w:sz w:val="20"/>
          <w:szCs w:val="20"/>
          <w:lang w:val="en-US"/>
        </w:rPr>
        <w:t>a period characterized by peak personal wealth</w:t>
      </w:r>
      <w:r w:rsidR="00496774" w:rsidRPr="002F48D6">
        <w:rPr>
          <w:sz w:val="20"/>
          <w:szCs w:val="20"/>
          <w:lang w:val="en-US"/>
        </w:rPr>
        <w:t xml:space="preserve">, </w:t>
      </w:r>
      <w:r w:rsidR="006B762A" w:rsidRPr="002F48D6">
        <w:rPr>
          <w:sz w:val="20"/>
          <w:szCs w:val="20"/>
          <w:lang w:val="en-US"/>
        </w:rPr>
        <w:t>and those over 65. Both groups were found to prefer low-risk financial products such as preferred stocks, bond funds, treasury bills, and short-term debt instruments.</w:t>
      </w:r>
    </w:p>
    <w:p w14:paraId="26531ACD" w14:textId="0D7D8DC1" w:rsidR="00B90926"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 xml:space="preserve">Hemmasi et al. (1992) observed that individuals who are younger, better educated, farther from retirement, have higher earnings, job security, greater loss tolerance, and financial obligations are generally more inclined toward risk-taking. Conversely, older adults tend to save rather than invest their pension resources (Goldstein et al., 2008). Bateman et al. (2010) emphasized that elderly individuals are more focused on minimizing risk than on pursuing investment growth. Nonetheless, actual international data reveal that older investors exhibit nuanced responses to financial risks (Lindbergh et al., 2008). Chevalier (2003) found that older adults may display distinct </w:t>
      </w:r>
      <w:r w:rsidR="00496774" w:rsidRPr="002F48D6">
        <w:rPr>
          <w:sz w:val="20"/>
          <w:szCs w:val="20"/>
          <w:lang w:val="en-US"/>
        </w:rPr>
        <w:t>behaviours</w:t>
      </w:r>
      <w:r w:rsidRPr="002F48D6">
        <w:rPr>
          <w:sz w:val="20"/>
          <w:szCs w:val="20"/>
          <w:lang w:val="en-US"/>
        </w:rPr>
        <w:t>, such as higher consumption levels, preference for liquid over fixed assets, and providing financial support to family members.</w:t>
      </w:r>
    </w:p>
    <w:p w14:paraId="5D992BE6" w14:textId="506E9839" w:rsidR="006B762A" w:rsidRPr="002F48D6" w:rsidRDefault="004C57DC" w:rsidP="002F48D6">
      <w:pPr>
        <w:spacing w:afterLines="80" w:after="192" w:line="240" w:lineRule="exact"/>
        <w:ind w:firstLine="425"/>
        <w:contextualSpacing/>
        <w:jc w:val="both"/>
        <w:rPr>
          <w:sz w:val="20"/>
          <w:szCs w:val="20"/>
          <w:lang w:val="en-US"/>
        </w:rPr>
      </w:pPr>
      <w:r w:rsidRPr="002F48D6">
        <w:rPr>
          <w:sz w:val="20"/>
          <w:szCs w:val="20"/>
          <w:lang w:val="en-US"/>
        </w:rPr>
        <w:lastRenderedPageBreak/>
        <w:t>Yao et al.</w:t>
      </w:r>
      <w:r w:rsidR="006B762A" w:rsidRPr="002F48D6">
        <w:rPr>
          <w:sz w:val="20"/>
          <w:szCs w:val="20"/>
          <w:lang w:val="en-US"/>
        </w:rPr>
        <w:t xml:space="preserve"> (200</w:t>
      </w:r>
      <w:r w:rsidRPr="002F48D6">
        <w:rPr>
          <w:sz w:val="20"/>
          <w:szCs w:val="20"/>
          <w:lang w:val="en-US"/>
        </w:rPr>
        <w:t>5</w:t>
      </w:r>
      <w:r w:rsidR="006B762A" w:rsidRPr="002F48D6">
        <w:rPr>
          <w:sz w:val="20"/>
          <w:szCs w:val="20"/>
          <w:lang w:val="en-US"/>
        </w:rPr>
        <w:t>) noted that men over 56 and women over 51 tend to invest in low-risk funds</w:t>
      </w:r>
      <w:r w:rsidR="003C515F" w:rsidRPr="002F48D6">
        <w:rPr>
          <w:sz w:val="20"/>
          <w:szCs w:val="20"/>
          <w:lang w:val="en-US"/>
        </w:rPr>
        <w:t>:</w:t>
      </w:r>
      <w:r w:rsidR="006B762A" w:rsidRPr="002F48D6">
        <w:rPr>
          <w:sz w:val="20"/>
          <w:szCs w:val="20"/>
          <w:lang w:val="en-US"/>
        </w:rPr>
        <w:t xml:space="preserve"> Compared to younger investors, middle-aged and elderly individuals are generally more </w:t>
      </w:r>
      <w:r w:rsidR="0086669D" w:rsidRPr="002F48D6">
        <w:rPr>
          <w:sz w:val="20"/>
          <w:szCs w:val="20"/>
          <w:lang w:val="en-US"/>
        </w:rPr>
        <w:t>risk averse</w:t>
      </w:r>
      <w:r w:rsidR="006B762A" w:rsidRPr="002F48D6">
        <w:rPr>
          <w:sz w:val="20"/>
          <w:szCs w:val="20"/>
          <w:lang w:val="en-US"/>
        </w:rPr>
        <w:t>. According to Yao and Lin (201</w:t>
      </w:r>
      <w:r w:rsidR="0086202C" w:rsidRPr="002F48D6">
        <w:rPr>
          <w:sz w:val="20"/>
          <w:szCs w:val="20"/>
          <w:lang w:val="en-US"/>
        </w:rPr>
        <w:t>1</w:t>
      </w:r>
      <w:r w:rsidR="006B762A" w:rsidRPr="002F48D6">
        <w:rPr>
          <w:sz w:val="20"/>
          <w:szCs w:val="20"/>
          <w:lang w:val="en-US"/>
        </w:rPr>
        <w:t>), market inefficiencies and the lack of effective protection for older adults’ rights and interests further amplify their aversion to risk. Similarly, Alanko and Elias (2009) observed that older investors tend to be more risk-averse, significantly influencing their investment decisions.</w:t>
      </w:r>
    </w:p>
    <w:p w14:paraId="71039A1A" w14:textId="365A33BF"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Investing in risky assets requires the ability to interpret financial market dynamics. Given the natural cognitive decline associated with aging, cognitive capacity becomes a critical factor in financial knowledge acquisition (Ram</w:t>
      </w:r>
      <w:r w:rsidR="00DF4A51" w:rsidRPr="002F48D6">
        <w:rPr>
          <w:sz w:val="20"/>
          <w:szCs w:val="20"/>
          <w:lang w:val="en-US"/>
        </w:rPr>
        <w:t>s</w:t>
      </w:r>
      <w:r w:rsidRPr="002F48D6">
        <w:rPr>
          <w:sz w:val="20"/>
          <w:szCs w:val="20"/>
          <w:lang w:val="en-US"/>
        </w:rPr>
        <w:t>ey et al., 200</w:t>
      </w:r>
      <w:r w:rsidR="00DF4A51" w:rsidRPr="002F48D6">
        <w:rPr>
          <w:sz w:val="20"/>
          <w:szCs w:val="20"/>
          <w:lang w:val="en-US"/>
        </w:rPr>
        <w:t>7</w:t>
      </w:r>
      <w:r w:rsidRPr="002F48D6">
        <w:rPr>
          <w:sz w:val="20"/>
          <w:szCs w:val="20"/>
          <w:lang w:val="en-US"/>
        </w:rPr>
        <w:t>).</w:t>
      </w:r>
    </w:p>
    <w:p w14:paraId="323BB9E7" w14:textId="77777777"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Pensions constitute the primary source of income for most elderly individuals, often supplemented by financial support from children. Higher income levels are generally associated with greater investment in equities and bonds (Heaton &amp; Lucas, 2010; Guiso et al., 2001). Kim and Lyons (2008) reported that health problems create significant financial strain, particularly in terms of solvency and asset structure. Chronic illnesses are cited as major burdens.</w:t>
      </w:r>
    </w:p>
    <w:p w14:paraId="1890FB1D" w14:textId="0BDA9440" w:rsidR="00B90926"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Sharpe et al. (2001) identified medical expenses</w:t>
      </w:r>
      <w:r w:rsidR="00496774" w:rsidRPr="002F48D6">
        <w:rPr>
          <w:sz w:val="20"/>
          <w:szCs w:val="20"/>
          <w:lang w:val="en-US"/>
        </w:rPr>
        <w:t xml:space="preserve">, </w:t>
      </w:r>
      <w:r w:rsidRPr="002F48D6">
        <w:rPr>
          <w:sz w:val="20"/>
          <w:szCs w:val="20"/>
          <w:lang w:val="en-US"/>
        </w:rPr>
        <w:t>such as insurance, medication, and healthcare services</w:t>
      </w:r>
      <w:r w:rsidR="00496774" w:rsidRPr="002F48D6">
        <w:rPr>
          <w:sz w:val="20"/>
          <w:szCs w:val="20"/>
          <w:lang w:val="en-US"/>
        </w:rPr>
        <w:t xml:space="preserve">, </w:t>
      </w:r>
      <w:r w:rsidRPr="002F48D6">
        <w:rPr>
          <w:sz w:val="20"/>
          <w:szCs w:val="20"/>
          <w:lang w:val="en-US"/>
        </w:rPr>
        <w:t xml:space="preserve">as key sources of financial difficulty among low-income groups, directly affecting their investment </w:t>
      </w:r>
      <w:r w:rsidR="00496774" w:rsidRPr="002F48D6">
        <w:rPr>
          <w:sz w:val="20"/>
          <w:szCs w:val="20"/>
          <w:lang w:val="en-US"/>
        </w:rPr>
        <w:t>behaviour</w:t>
      </w:r>
      <w:r w:rsidRPr="002F48D6">
        <w:rPr>
          <w:sz w:val="20"/>
          <w:szCs w:val="20"/>
          <w:lang w:val="en-US"/>
        </w:rPr>
        <w:t>. Older adults living alone face higher risks of financial distress (Lee, 1994), highlighting the family’s role in providing support and financial education. Families not only serve as buffers against financial shocks but also act as agents of socialization that shape perceptions and influence younger generations (Hira, 2009). Households affected by divorce, caregiving responsibilities, limited education, and poor health tend to report lower wealth, savings, and perceived well-being (Bearden &amp; Wilder, 2007).</w:t>
      </w:r>
    </w:p>
    <w:p w14:paraId="182717FF" w14:textId="6A560561"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Unexpected health emergencies may cause elderly consumers to deplete their savings faster than anticipated, potentially forcing them to continue working past retirement age (Hogarth, 1987).</w:t>
      </w:r>
      <w:r w:rsidR="00B90926" w:rsidRPr="002F48D6">
        <w:rPr>
          <w:sz w:val="20"/>
          <w:szCs w:val="20"/>
          <w:lang w:val="en-US"/>
        </w:rPr>
        <w:t xml:space="preserve"> </w:t>
      </w:r>
      <w:proofErr w:type="spellStart"/>
      <w:r w:rsidRPr="002F48D6">
        <w:rPr>
          <w:sz w:val="20"/>
          <w:szCs w:val="20"/>
          <w:lang w:val="en-US"/>
        </w:rPr>
        <w:t>Rickwood</w:t>
      </w:r>
      <w:proofErr w:type="spellEnd"/>
      <w:r w:rsidRPr="002F48D6">
        <w:rPr>
          <w:sz w:val="20"/>
          <w:szCs w:val="20"/>
          <w:lang w:val="en-US"/>
        </w:rPr>
        <w:t xml:space="preserve"> and White (2009) found that older individuals are less inclined to invest for the medium or long term, preferring instead to allocate resources to immediate needs and focusing more on positive present outcomes than uncertain futures.</w:t>
      </w:r>
    </w:p>
    <w:p w14:paraId="5D8E564A" w14:textId="507293E3"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 xml:space="preserve">Several scholars have explored the relationship between age and financial </w:t>
      </w:r>
      <w:r w:rsidR="00496774" w:rsidRPr="002F48D6">
        <w:rPr>
          <w:sz w:val="20"/>
          <w:szCs w:val="20"/>
          <w:lang w:val="en-US"/>
        </w:rPr>
        <w:t>behaviour</w:t>
      </w:r>
      <w:r w:rsidRPr="002F48D6">
        <w:rPr>
          <w:sz w:val="20"/>
          <w:szCs w:val="20"/>
          <w:lang w:val="en-US"/>
        </w:rPr>
        <w:t xml:space="preserve">, with age generally found to have a negative effect on investment and financing decisions. Yoo (1994) posits that age has an inverted U-shaped relationship with investment </w:t>
      </w:r>
      <w:r w:rsidR="00496774" w:rsidRPr="002F48D6">
        <w:rPr>
          <w:sz w:val="20"/>
          <w:szCs w:val="20"/>
          <w:lang w:val="en-US"/>
        </w:rPr>
        <w:t>behaviour</w:t>
      </w:r>
      <w:r w:rsidRPr="002F48D6">
        <w:rPr>
          <w:sz w:val="20"/>
          <w:szCs w:val="20"/>
          <w:lang w:val="en-US"/>
        </w:rPr>
        <w:t xml:space="preserve">: individuals may take more risks at middle </w:t>
      </w:r>
      <w:r w:rsidR="0086669D" w:rsidRPr="002F48D6">
        <w:rPr>
          <w:sz w:val="20"/>
          <w:szCs w:val="20"/>
          <w:lang w:val="en-US"/>
        </w:rPr>
        <w:t>age but</w:t>
      </w:r>
      <w:r w:rsidRPr="002F48D6">
        <w:rPr>
          <w:sz w:val="20"/>
          <w:szCs w:val="20"/>
          <w:lang w:val="en-US"/>
        </w:rPr>
        <w:t xml:space="preserve"> shift to safer options after retirement. According to Bertaut (1996), individuals become more </w:t>
      </w:r>
      <w:r w:rsidR="0086669D" w:rsidRPr="002F48D6">
        <w:rPr>
          <w:sz w:val="20"/>
          <w:szCs w:val="20"/>
          <w:lang w:val="en-US"/>
        </w:rPr>
        <w:t>investment inclined</w:t>
      </w:r>
      <w:r w:rsidRPr="002F48D6">
        <w:rPr>
          <w:sz w:val="20"/>
          <w:szCs w:val="20"/>
          <w:lang w:val="en-US"/>
        </w:rPr>
        <w:t xml:space="preserve"> as they gain experience and knowledge with age. This aligns with the life-cycle hypothesis, which suggests that individuals save during their working years and consume more in retirement (Mullis &amp; Metzen, 1986).</w:t>
      </w:r>
    </w:p>
    <w:p w14:paraId="5B9B3153" w14:textId="59E467B2"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 xml:space="preserve">Gender also plays a significant role in financial </w:t>
      </w:r>
      <w:r w:rsidR="00496774" w:rsidRPr="002F48D6">
        <w:rPr>
          <w:sz w:val="20"/>
          <w:szCs w:val="20"/>
          <w:lang w:val="en-US"/>
        </w:rPr>
        <w:t>behaviour</w:t>
      </w:r>
      <w:r w:rsidRPr="002F48D6">
        <w:rPr>
          <w:sz w:val="20"/>
          <w:szCs w:val="20"/>
          <w:lang w:val="en-US"/>
        </w:rPr>
        <w:t xml:space="preserve">. Guiso et al. (2000) found that men are more inclined to engage in high-risk financial activities, such as investing in stocks. Xing (2009), </w:t>
      </w:r>
      <w:r w:rsidR="00496774" w:rsidRPr="002F48D6">
        <w:rPr>
          <w:sz w:val="20"/>
          <w:szCs w:val="20"/>
          <w:lang w:val="en-US"/>
        </w:rPr>
        <w:t>analysing</w:t>
      </w:r>
      <w:r w:rsidRPr="002F48D6">
        <w:rPr>
          <w:sz w:val="20"/>
          <w:szCs w:val="20"/>
          <w:lang w:val="en-US"/>
        </w:rPr>
        <w:t xml:space="preserve"> survey data from Yangzhou, corroborated this finding. </w:t>
      </w:r>
      <w:r w:rsidR="00496774" w:rsidRPr="002F48D6">
        <w:rPr>
          <w:sz w:val="20"/>
          <w:szCs w:val="20"/>
          <w:lang w:val="en-US"/>
        </w:rPr>
        <w:t>Behavioural</w:t>
      </w:r>
      <w:r w:rsidRPr="002F48D6">
        <w:rPr>
          <w:sz w:val="20"/>
          <w:szCs w:val="20"/>
          <w:lang w:val="en-US"/>
        </w:rPr>
        <w:t xml:space="preserve"> economics research by Qiu</w:t>
      </w:r>
      <w:r w:rsidR="00D36CDD" w:rsidRPr="002F48D6">
        <w:rPr>
          <w:sz w:val="20"/>
          <w:szCs w:val="20"/>
          <w:lang w:val="en-US"/>
        </w:rPr>
        <w:t xml:space="preserve"> and Hong</w:t>
      </w:r>
      <w:r w:rsidRPr="002F48D6">
        <w:rPr>
          <w:sz w:val="20"/>
          <w:szCs w:val="20"/>
          <w:lang w:val="en-US"/>
        </w:rPr>
        <w:t xml:space="preserve"> (2014) indicates that women tend to be more risk-averse, </w:t>
      </w:r>
      <w:r w:rsidR="00496774" w:rsidRPr="002F48D6">
        <w:rPr>
          <w:sz w:val="20"/>
          <w:szCs w:val="20"/>
          <w:lang w:val="en-US"/>
        </w:rPr>
        <w:t>favouring</w:t>
      </w:r>
      <w:r w:rsidRPr="002F48D6">
        <w:rPr>
          <w:sz w:val="20"/>
          <w:szCs w:val="20"/>
          <w:lang w:val="en-US"/>
        </w:rPr>
        <w:t xml:space="preserve"> low-risk financial products. Grace et al. (2010) argued that women are more prudent in evaluating investment alternatives, often shaped by lower lifetime earnings and an awareness of future vulnerabilities.</w:t>
      </w:r>
    </w:p>
    <w:p w14:paraId="6BC01890" w14:textId="5980DE38"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Herding behavio</w:t>
      </w:r>
      <w:r w:rsidR="00496774" w:rsidRPr="002F48D6">
        <w:rPr>
          <w:sz w:val="20"/>
          <w:szCs w:val="20"/>
          <w:lang w:val="en-US"/>
        </w:rPr>
        <w:t>u</w:t>
      </w:r>
      <w:r w:rsidRPr="002F48D6">
        <w:rPr>
          <w:sz w:val="20"/>
          <w:szCs w:val="20"/>
          <w:lang w:val="en-US"/>
        </w:rPr>
        <w:t>r refers to investment decisions based on the actions of others rather than one’s own information. Keynes (1936) suggested that sociological factors, such as social habits, influence individual investment decisions, leading them to follow prevailing trends.</w:t>
      </w:r>
    </w:p>
    <w:p w14:paraId="41679364" w14:textId="7FC772C5"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 xml:space="preserve">Using a hierarchical segmentation model, </w:t>
      </w:r>
      <w:proofErr w:type="spellStart"/>
      <w:r w:rsidRPr="002F48D6">
        <w:rPr>
          <w:sz w:val="20"/>
          <w:szCs w:val="20"/>
          <w:lang w:val="en-US"/>
        </w:rPr>
        <w:t>Moschis</w:t>
      </w:r>
      <w:proofErr w:type="spellEnd"/>
      <w:r w:rsidRPr="002F48D6">
        <w:rPr>
          <w:sz w:val="20"/>
          <w:szCs w:val="20"/>
          <w:lang w:val="en-US"/>
        </w:rPr>
        <w:t xml:space="preserve"> and Burkhalter (2007) found that older consumers display similar preferences across groups, generally </w:t>
      </w:r>
      <w:r w:rsidR="00496774" w:rsidRPr="002F48D6">
        <w:rPr>
          <w:sz w:val="20"/>
          <w:szCs w:val="20"/>
          <w:lang w:val="en-US"/>
        </w:rPr>
        <w:t>favouring</w:t>
      </w:r>
      <w:r w:rsidRPr="002F48D6">
        <w:rPr>
          <w:sz w:val="20"/>
          <w:szCs w:val="20"/>
          <w:lang w:val="en-US"/>
        </w:rPr>
        <w:t xml:space="preserve"> brokerage firms and commercial banks, and seeking information from issuers regarding safe, low- or medium-risk investments (</w:t>
      </w:r>
      <w:proofErr w:type="spellStart"/>
      <w:r w:rsidRPr="002F48D6">
        <w:rPr>
          <w:sz w:val="20"/>
          <w:szCs w:val="20"/>
          <w:lang w:val="en-US"/>
        </w:rPr>
        <w:t>Moschis</w:t>
      </w:r>
      <w:proofErr w:type="spellEnd"/>
      <w:r w:rsidRPr="002F48D6">
        <w:rPr>
          <w:sz w:val="20"/>
          <w:szCs w:val="20"/>
          <w:lang w:val="en-US"/>
        </w:rPr>
        <w:t xml:space="preserve"> &amp; Nguyen, 2008). Spyrou (2013) noted that herding </w:t>
      </w:r>
      <w:r w:rsidR="00496774" w:rsidRPr="002F48D6">
        <w:rPr>
          <w:sz w:val="20"/>
          <w:szCs w:val="20"/>
          <w:lang w:val="en-US"/>
        </w:rPr>
        <w:t>behaviour can</w:t>
      </w:r>
      <w:r w:rsidRPr="002F48D6">
        <w:rPr>
          <w:sz w:val="20"/>
          <w:szCs w:val="20"/>
          <w:lang w:val="en-US"/>
        </w:rPr>
        <w:t xml:space="preserve"> be both rational and irrational. Li et al. (20</w:t>
      </w:r>
      <w:r w:rsidR="008D14ED" w:rsidRPr="002F48D6">
        <w:rPr>
          <w:sz w:val="20"/>
          <w:szCs w:val="20"/>
          <w:lang w:val="en-US"/>
        </w:rPr>
        <w:t>17</w:t>
      </w:r>
      <w:r w:rsidRPr="002F48D6">
        <w:rPr>
          <w:sz w:val="20"/>
          <w:szCs w:val="20"/>
          <w:lang w:val="en-US"/>
        </w:rPr>
        <w:t xml:space="preserve">) demonstrated that individual investors often imitate institutional investors due to lack of information, capital, and experience. Yang Xin et al. (2004) observed a correlation between herding </w:t>
      </w:r>
      <w:r w:rsidR="00496774" w:rsidRPr="002F48D6">
        <w:rPr>
          <w:sz w:val="20"/>
          <w:szCs w:val="20"/>
          <w:lang w:val="en-US"/>
        </w:rPr>
        <w:t xml:space="preserve">behaviour </w:t>
      </w:r>
      <w:r w:rsidRPr="002F48D6">
        <w:rPr>
          <w:sz w:val="20"/>
          <w:szCs w:val="20"/>
          <w:lang w:val="en-US"/>
        </w:rPr>
        <w:t>and immediate market returns. Lu et al. (2019) found that older adults exhibit stronger herd instincts, often relying on financial advice from family and friends and displaying greater trust in institutional investors.</w:t>
      </w:r>
    </w:p>
    <w:p w14:paraId="1579E489" w14:textId="122C8A49"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 xml:space="preserve">Financial literacy plays a critical role in shaping investment </w:t>
      </w:r>
      <w:r w:rsidR="00496774" w:rsidRPr="002F48D6">
        <w:rPr>
          <w:sz w:val="20"/>
          <w:szCs w:val="20"/>
          <w:lang w:val="en-US"/>
        </w:rPr>
        <w:t>behaviour.</w:t>
      </w:r>
      <w:r w:rsidRPr="002F48D6">
        <w:rPr>
          <w:sz w:val="20"/>
          <w:szCs w:val="20"/>
          <w:lang w:val="en-US"/>
        </w:rPr>
        <w:t xml:space="preserve"> Guiso and </w:t>
      </w:r>
      <w:proofErr w:type="spellStart"/>
      <w:r w:rsidRPr="002F48D6">
        <w:rPr>
          <w:sz w:val="20"/>
          <w:szCs w:val="20"/>
          <w:lang w:val="en-US"/>
        </w:rPr>
        <w:t>Jappelli</w:t>
      </w:r>
      <w:proofErr w:type="spellEnd"/>
      <w:r w:rsidRPr="002F48D6">
        <w:rPr>
          <w:sz w:val="20"/>
          <w:szCs w:val="20"/>
          <w:lang w:val="en-US"/>
        </w:rPr>
        <w:t xml:space="preserve"> (2004) showed that knowledge of stock markets influences household financial decisions. Investors with greater financial understanding are more likely to invest in stocks (</w:t>
      </w:r>
      <w:r w:rsidR="00BE6367" w:rsidRPr="002F48D6">
        <w:rPr>
          <w:sz w:val="20"/>
          <w:szCs w:val="20"/>
          <w:lang w:val="en-US"/>
        </w:rPr>
        <w:t xml:space="preserve">Van </w:t>
      </w:r>
      <w:proofErr w:type="spellStart"/>
      <w:r w:rsidRPr="002F48D6">
        <w:rPr>
          <w:sz w:val="20"/>
          <w:szCs w:val="20"/>
          <w:lang w:val="en-US"/>
        </w:rPr>
        <w:t>Rooij</w:t>
      </w:r>
      <w:proofErr w:type="spellEnd"/>
      <w:r w:rsidRPr="002F48D6">
        <w:rPr>
          <w:sz w:val="20"/>
          <w:szCs w:val="20"/>
          <w:lang w:val="en-US"/>
        </w:rPr>
        <w:t xml:space="preserve"> et al., 201</w:t>
      </w:r>
      <w:r w:rsidR="00BE6367" w:rsidRPr="002F48D6">
        <w:rPr>
          <w:sz w:val="20"/>
          <w:szCs w:val="20"/>
          <w:lang w:val="en-US"/>
        </w:rPr>
        <w:t>1</w:t>
      </w:r>
      <w:r w:rsidRPr="002F48D6">
        <w:rPr>
          <w:sz w:val="20"/>
          <w:szCs w:val="20"/>
          <w:lang w:val="en-US"/>
        </w:rPr>
        <w:t>; Lusardi &amp; Mitchell, 2005). Education level is positively correlated with financial planning ability (Campbell, 2006).</w:t>
      </w:r>
    </w:p>
    <w:p w14:paraId="5E11D19B" w14:textId="25ACE9F4"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Among older adults, there is widespread inexperience with financial products, leading to suboptimal or risky decisions (Morrin et al., 2008). Many elderly individuals misuse financial information, underestimate market risks, and anchor decisions on historical averages rather than actual data (Schaub, 2003), complicating decision-making across available options.</w:t>
      </w:r>
    </w:p>
    <w:p w14:paraId="10776954" w14:textId="7597FA32"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Dunne and Turley (1997) found that older consumers generally respond positively to most financial products but often lack awareness of offerings targeted at them. Lower cognitive age further reduces their ability to evaluate these products accurately.</w:t>
      </w:r>
    </w:p>
    <w:p w14:paraId="4BF5A76B" w14:textId="3D6E4794" w:rsidR="00B90926"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Numerous recent studies address the elderly’s vulnerability to fraud. Wang Fang (2017) highlighted their tendency to focus on potential returns while ignoring risks. This often leads to impulsive investment decisions, increasing fraud exposure and influencing peers’ decisions.</w:t>
      </w:r>
    </w:p>
    <w:p w14:paraId="2CB7B19F" w14:textId="04F8F66E"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lastRenderedPageBreak/>
        <w:t>Elderly individuals are particularly susceptible to fraud due to cognitive decline and limited ability to detect scams (</w:t>
      </w:r>
      <w:r w:rsidR="001005E2" w:rsidRPr="002F48D6">
        <w:rPr>
          <w:sz w:val="20"/>
          <w:szCs w:val="20"/>
          <w:lang w:val="en-US"/>
        </w:rPr>
        <w:t>Han et al</w:t>
      </w:r>
      <w:r w:rsidRPr="002F48D6">
        <w:rPr>
          <w:sz w:val="20"/>
          <w:szCs w:val="20"/>
          <w:lang w:val="en-US"/>
        </w:rPr>
        <w:t>, 20</w:t>
      </w:r>
      <w:r w:rsidR="001005E2" w:rsidRPr="002F48D6">
        <w:rPr>
          <w:sz w:val="20"/>
          <w:szCs w:val="20"/>
          <w:lang w:val="en-US"/>
        </w:rPr>
        <w:t>17</w:t>
      </w:r>
      <w:r w:rsidRPr="002F48D6">
        <w:rPr>
          <w:sz w:val="20"/>
          <w:szCs w:val="20"/>
          <w:lang w:val="en-US"/>
        </w:rPr>
        <w:t>). Common targets include healthcare, consumer goods, and financial services</w:t>
      </w:r>
      <w:r w:rsidR="00496774" w:rsidRPr="002F48D6">
        <w:rPr>
          <w:sz w:val="20"/>
          <w:szCs w:val="20"/>
          <w:lang w:val="en-US"/>
        </w:rPr>
        <w:t xml:space="preserve">, </w:t>
      </w:r>
      <w:r w:rsidRPr="002F48D6">
        <w:rPr>
          <w:sz w:val="20"/>
          <w:szCs w:val="20"/>
          <w:lang w:val="en-US"/>
        </w:rPr>
        <w:t>particularly through digital finance platforms (Tang et al., 2019). Older adults are more likely to fall victim to online scams than younger individuals. Their aversion to internet tools grows as awareness of online fraud increases, leading many to avoid digital services entirely (Diao &amp; Zeng, 2020)</w:t>
      </w:r>
      <w:r w:rsidR="000419EF" w:rsidRPr="002F48D6">
        <w:rPr>
          <w:sz w:val="20"/>
          <w:szCs w:val="20"/>
          <w:lang w:val="en-US"/>
        </w:rPr>
        <w:t xml:space="preserve"> </w:t>
      </w:r>
      <w:r w:rsidRPr="002F48D6">
        <w:rPr>
          <w:sz w:val="20"/>
          <w:szCs w:val="20"/>
          <w:lang w:val="en-US"/>
        </w:rPr>
        <w:t>found that risk perception negatively correlates with willingness to invest online. Zhang</w:t>
      </w:r>
      <w:r w:rsidR="00406B82" w:rsidRPr="002F48D6">
        <w:rPr>
          <w:sz w:val="20"/>
          <w:szCs w:val="20"/>
          <w:lang w:val="en-US"/>
        </w:rPr>
        <w:t xml:space="preserve"> et al.</w:t>
      </w:r>
      <w:r w:rsidRPr="002F48D6">
        <w:rPr>
          <w:sz w:val="20"/>
          <w:szCs w:val="20"/>
          <w:lang w:val="en-US"/>
        </w:rPr>
        <w:t xml:space="preserve"> (202</w:t>
      </w:r>
      <w:r w:rsidR="00406B82" w:rsidRPr="002F48D6">
        <w:rPr>
          <w:sz w:val="20"/>
          <w:szCs w:val="20"/>
          <w:lang w:val="en-US"/>
        </w:rPr>
        <w:t>1</w:t>
      </w:r>
      <w:r w:rsidRPr="002F48D6">
        <w:rPr>
          <w:sz w:val="20"/>
          <w:szCs w:val="20"/>
          <w:lang w:val="en-US"/>
        </w:rPr>
        <w:t>) showed that fraud heightens financial risk perception and discourages participation in financial decision-making. Lichtenberg (2015) confirmed that fraud reduces trust in financial systems, reflecting the elderly’s elevated vulnerability.</w:t>
      </w:r>
    </w:p>
    <w:p w14:paraId="21C25399" w14:textId="77777777" w:rsidR="00DE359B" w:rsidRPr="002F48D6" w:rsidRDefault="00DE359B" w:rsidP="002F48D6">
      <w:pPr>
        <w:spacing w:afterLines="80" w:after="192" w:line="240" w:lineRule="exact"/>
        <w:contextualSpacing/>
        <w:jc w:val="both"/>
        <w:rPr>
          <w:sz w:val="20"/>
          <w:szCs w:val="20"/>
          <w:lang w:val="en-US"/>
        </w:rPr>
      </w:pPr>
    </w:p>
    <w:p w14:paraId="3334268E" w14:textId="7BFD2C4B" w:rsidR="006B762A" w:rsidRPr="002F48D6" w:rsidRDefault="00DE359B" w:rsidP="002F48D6">
      <w:pPr>
        <w:widowControl w:val="0"/>
        <w:spacing w:after="80" w:line="240" w:lineRule="exact"/>
        <w:jc w:val="both"/>
        <w:rPr>
          <w:rFonts w:eastAsia="SimSun"/>
          <w:b/>
          <w:bCs/>
          <w:iCs/>
          <w:kern w:val="2"/>
          <w:sz w:val="20"/>
          <w:lang w:val="en-US" w:eastAsia="zh-CN"/>
        </w:rPr>
      </w:pPr>
      <w:r w:rsidRPr="002F48D6">
        <w:rPr>
          <w:rFonts w:eastAsia="SimSun"/>
          <w:b/>
          <w:bCs/>
          <w:iCs/>
          <w:kern w:val="2"/>
          <w:sz w:val="20"/>
          <w:lang w:val="en-US" w:eastAsia="zh-CN"/>
        </w:rPr>
        <w:t xml:space="preserve">5. </w:t>
      </w:r>
      <w:r w:rsidR="00C11FCA" w:rsidRPr="002F48D6">
        <w:rPr>
          <w:rFonts w:eastAsia="SimSun"/>
          <w:b/>
          <w:bCs/>
          <w:iCs/>
          <w:kern w:val="2"/>
          <w:sz w:val="20"/>
          <w:lang w:val="en-US" w:eastAsia="zh-CN"/>
        </w:rPr>
        <w:t>The market and the financial services offered to the elderly population</w:t>
      </w:r>
    </w:p>
    <w:p w14:paraId="72B7D173" w14:textId="77777777" w:rsidR="006B762A" w:rsidRPr="002F48D6" w:rsidRDefault="006B762A" w:rsidP="002F48D6">
      <w:pPr>
        <w:spacing w:afterLines="80" w:after="192" w:line="240" w:lineRule="exact"/>
        <w:ind w:firstLine="425"/>
        <w:contextualSpacing/>
        <w:jc w:val="both"/>
        <w:rPr>
          <w:sz w:val="20"/>
          <w:szCs w:val="20"/>
          <w:lang w:val="en-US"/>
        </w:rPr>
      </w:pPr>
    </w:p>
    <w:p w14:paraId="29508E31" w14:textId="692F30C0"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Due to the heterogeneity of the elderly demographic in terms of financial resources and risk tolerance, financial products designed for this group must be differentiated based on their perceived value</w:t>
      </w:r>
      <w:r w:rsidR="00496774" w:rsidRPr="002F48D6">
        <w:rPr>
          <w:sz w:val="20"/>
          <w:szCs w:val="20"/>
          <w:lang w:val="en-US"/>
        </w:rPr>
        <w:t xml:space="preserve">, </w:t>
      </w:r>
      <w:r w:rsidRPr="002F48D6">
        <w:rPr>
          <w:sz w:val="20"/>
          <w:szCs w:val="20"/>
          <w:lang w:val="en-US"/>
        </w:rPr>
        <w:t>whether viewed as beneficial or discriminatory (Philp et al., 1992).</w:t>
      </w:r>
    </w:p>
    <w:p w14:paraId="126BBFA0" w14:textId="688EA985" w:rsidR="006B762A" w:rsidRPr="002F48D6" w:rsidRDefault="006B762A" w:rsidP="002F48D6">
      <w:pPr>
        <w:spacing w:afterLines="80" w:after="192" w:line="240" w:lineRule="exact"/>
        <w:ind w:firstLine="425"/>
        <w:contextualSpacing/>
        <w:jc w:val="both"/>
        <w:rPr>
          <w:sz w:val="20"/>
          <w:szCs w:val="20"/>
          <w:lang w:val="en-US"/>
        </w:rPr>
      </w:pPr>
      <w:proofErr w:type="spellStart"/>
      <w:r w:rsidRPr="002F48D6">
        <w:rPr>
          <w:sz w:val="20"/>
          <w:szCs w:val="20"/>
          <w:lang w:val="en-US"/>
        </w:rPr>
        <w:t>Analyzing</w:t>
      </w:r>
      <w:proofErr w:type="spellEnd"/>
      <w:r w:rsidRPr="002F48D6">
        <w:rPr>
          <w:sz w:val="20"/>
          <w:szCs w:val="20"/>
          <w:lang w:val="en-US"/>
        </w:rPr>
        <w:t xml:space="preserve"> banking services and Equity Release Products (ERPs), Brennan and Ritch (2010) found that older adults have increasingly lost trust in such products and their providers. This distrust stems from the excessive profits made by banks, the lack of adequate customer service, and the additional restrictions imposed</w:t>
      </w:r>
      <w:r w:rsidR="00496774" w:rsidRPr="002F48D6">
        <w:rPr>
          <w:sz w:val="20"/>
          <w:szCs w:val="20"/>
          <w:lang w:val="en-US"/>
        </w:rPr>
        <w:t xml:space="preserve">, </w:t>
      </w:r>
      <w:r w:rsidRPr="002F48D6">
        <w:rPr>
          <w:sz w:val="20"/>
          <w:szCs w:val="20"/>
          <w:lang w:val="en-US"/>
        </w:rPr>
        <w:t>such as limited access to long-term mortgages due to age.</w:t>
      </w:r>
    </w:p>
    <w:p w14:paraId="6EC61E56" w14:textId="29AE8C63"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Although financial planning among the elderly typically aims to maintain quality of life during retirement and ensure income continuity relative to working years</w:t>
      </w:r>
      <w:r w:rsidR="00496774" w:rsidRPr="002F48D6">
        <w:rPr>
          <w:sz w:val="20"/>
          <w:szCs w:val="20"/>
          <w:lang w:val="en-US"/>
        </w:rPr>
        <w:t xml:space="preserve">, </w:t>
      </w:r>
      <w:r w:rsidRPr="002F48D6">
        <w:rPr>
          <w:sz w:val="20"/>
          <w:szCs w:val="20"/>
          <w:lang w:val="en-US"/>
        </w:rPr>
        <w:t>resorting to investment products only when necessary</w:t>
      </w:r>
      <w:r w:rsidR="00496774" w:rsidRPr="002F48D6">
        <w:rPr>
          <w:sz w:val="20"/>
          <w:szCs w:val="20"/>
          <w:lang w:val="en-US"/>
        </w:rPr>
        <w:t xml:space="preserve">, </w:t>
      </w:r>
      <w:r w:rsidRPr="002F48D6">
        <w:rPr>
          <w:sz w:val="20"/>
          <w:szCs w:val="20"/>
          <w:lang w:val="en-US"/>
        </w:rPr>
        <w:t>financial marketers still lack clear strategies for targeting this segment (Johnson, 2008).</w:t>
      </w:r>
    </w:p>
    <w:p w14:paraId="6F5CE09F" w14:textId="19FD0FDE"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Javalgi et al. (1991) segmented the financial product market by distinguishing between two age groups: individuals aged 55–64 (“Older”) and those over 65 (“Elderly”). The study identified significant differences in the decision-making criteria and the importance attributed to various product features. Consequently, financial advisors should tailor their marketing mix to meet the distinct needs of each segment.</w:t>
      </w:r>
      <w:r w:rsidR="00B90926" w:rsidRPr="002F48D6">
        <w:rPr>
          <w:sz w:val="20"/>
          <w:szCs w:val="20"/>
          <w:lang w:val="en-US"/>
        </w:rPr>
        <w:t xml:space="preserve"> </w:t>
      </w:r>
      <w:r w:rsidRPr="002F48D6">
        <w:rPr>
          <w:sz w:val="20"/>
          <w:szCs w:val="20"/>
          <w:lang w:val="en-US"/>
        </w:rPr>
        <w:t xml:space="preserve">For example, regarding the convenience of physical branch locations, the “Older” segment emphasizes extended opening hours, while the “Elderly” prioritize proximity to their homes. In terms of product features, older consumers </w:t>
      </w:r>
      <w:r w:rsidR="00496774" w:rsidRPr="002F48D6">
        <w:rPr>
          <w:sz w:val="20"/>
          <w:szCs w:val="20"/>
          <w:lang w:val="en-US"/>
        </w:rPr>
        <w:t>favour</w:t>
      </w:r>
      <w:r w:rsidRPr="002F48D6">
        <w:rPr>
          <w:sz w:val="20"/>
          <w:szCs w:val="20"/>
          <w:lang w:val="en-US"/>
        </w:rPr>
        <w:t xml:space="preserve"> liquidity, whereas the elderly prioritize capital security. With respect to pricing, the “Older” group prefers lower lending rates, while the elderly show a stronger preference for higher interest on savings.</w:t>
      </w:r>
    </w:p>
    <w:p w14:paraId="49DBFBCB" w14:textId="4FF1F146"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In a subsequent study, Javalgi et al. (2000) noted that in terms of pricing policies, the “Older” group tends to value unbundled products and services</w:t>
      </w:r>
      <w:r w:rsidR="00496774" w:rsidRPr="002F48D6">
        <w:rPr>
          <w:sz w:val="20"/>
          <w:szCs w:val="20"/>
          <w:lang w:val="en-US"/>
        </w:rPr>
        <w:t xml:space="preserve">, </w:t>
      </w:r>
      <w:r w:rsidRPr="002F48D6">
        <w:rPr>
          <w:sz w:val="20"/>
          <w:szCs w:val="20"/>
          <w:lang w:val="en-US"/>
        </w:rPr>
        <w:t>each with specific pricing</w:t>
      </w:r>
      <w:r w:rsidR="00496774" w:rsidRPr="002F48D6">
        <w:rPr>
          <w:sz w:val="20"/>
          <w:szCs w:val="20"/>
          <w:lang w:val="en-US"/>
        </w:rPr>
        <w:t xml:space="preserve">, </w:t>
      </w:r>
      <w:r w:rsidRPr="002F48D6">
        <w:rPr>
          <w:sz w:val="20"/>
          <w:szCs w:val="20"/>
          <w:lang w:val="en-US"/>
        </w:rPr>
        <w:t>while the “Elderly” prefer comprehensive packages and free initial consultations. Overall, both segments respond positively to support services, such as assistance with paperwork. Conversely, some financial advisors have been found to engage in predatory lending practices.</w:t>
      </w:r>
    </w:p>
    <w:p w14:paraId="60C29616" w14:textId="192A78BC" w:rsidR="00B90926"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To improve the market’s ability to serve elderly consumers preparing for retirement, Coughlin and D’Ambrosio (2009) identified several widespread misconceptions that need to be addressed. These include:</w:t>
      </w:r>
      <w:r w:rsidR="00B90926" w:rsidRPr="002F48D6">
        <w:rPr>
          <w:sz w:val="20"/>
          <w:szCs w:val="20"/>
          <w:lang w:val="en-US"/>
        </w:rPr>
        <w:t xml:space="preserve"> </w:t>
      </w:r>
      <w:r w:rsidRPr="002F48D6">
        <w:rPr>
          <w:sz w:val="20"/>
          <w:szCs w:val="20"/>
          <w:lang w:val="en-US"/>
        </w:rPr>
        <w:t>(</w:t>
      </w:r>
      <w:proofErr w:type="spellStart"/>
      <w:r w:rsidRPr="002F48D6">
        <w:rPr>
          <w:sz w:val="20"/>
          <w:szCs w:val="20"/>
          <w:lang w:val="en-US"/>
        </w:rPr>
        <w:t>i</w:t>
      </w:r>
      <w:proofErr w:type="spellEnd"/>
      <w:r w:rsidRPr="002F48D6">
        <w:rPr>
          <w:sz w:val="20"/>
          <w:szCs w:val="20"/>
          <w:lang w:val="en-US"/>
        </w:rPr>
        <w:t>) the belief that men are the primary users of financial services (possibly due to their perceived role as income earners);</w:t>
      </w:r>
      <w:r w:rsidR="00B90926" w:rsidRPr="002F48D6">
        <w:rPr>
          <w:sz w:val="20"/>
          <w:szCs w:val="20"/>
          <w:lang w:val="en-US"/>
        </w:rPr>
        <w:t xml:space="preserve"> </w:t>
      </w:r>
      <w:r w:rsidRPr="002F48D6">
        <w:rPr>
          <w:sz w:val="20"/>
          <w:szCs w:val="20"/>
          <w:lang w:val="en-US"/>
        </w:rPr>
        <w:t>(ii) the assumption that financial motives are the sole drivers of investment decisions, ignoring emotional influences;</w:t>
      </w:r>
      <w:r w:rsidR="00B90926" w:rsidRPr="002F48D6">
        <w:rPr>
          <w:sz w:val="20"/>
          <w:szCs w:val="20"/>
          <w:lang w:val="en-US"/>
        </w:rPr>
        <w:t xml:space="preserve"> </w:t>
      </w:r>
      <w:r w:rsidRPr="002F48D6">
        <w:rPr>
          <w:sz w:val="20"/>
          <w:szCs w:val="20"/>
          <w:lang w:val="en-US"/>
        </w:rPr>
        <w:t>(iii) the idea that financial planning is a purely rational and universally desired activity, overlooking its emotional and commitment-related implications;</w:t>
      </w:r>
      <w:r w:rsidR="00B90926" w:rsidRPr="002F48D6">
        <w:rPr>
          <w:sz w:val="20"/>
          <w:szCs w:val="20"/>
          <w:lang w:val="en-US"/>
        </w:rPr>
        <w:t xml:space="preserve"> </w:t>
      </w:r>
      <w:r w:rsidRPr="002F48D6">
        <w:rPr>
          <w:sz w:val="20"/>
          <w:szCs w:val="20"/>
          <w:lang w:val="en-US"/>
        </w:rPr>
        <w:t>(iv) the belief that older individuals seek a wide array of information when planning, whereas in reality they prioritize trust and advisor credibility;</w:t>
      </w:r>
      <w:r w:rsidR="00B90926" w:rsidRPr="002F48D6">
        <w:rPr>
          <w:sz w:val="20"/>
          <w:szCs w:val="20"/>
          <w:lang w:val="en-US"/>
        </w:rPr>
        <w:t xml:space="preserve"> </w:t>
      </w:r>
      <w:r w:rsidRPr="002F48D6">
        <w:rPr>
          <w:sz w:val="20"/>
          <w:szCs w:val="20"/>
          <w:lang w:val="en-US"/>
        </w:rPr>
        <w:t xml:space="preserve">(v) the view that financial planning is an individualistic </w:t>
      </w:r>
      <w:r w:rsidR="00496774" w:rsidRPr="002F48D6">
        <w:rPr>
          <w:sz w:val="20"/>
          <w:szCs w:val="20"/>
          <w:lang w:val="en-US"/>
        </w:rPr>
        <w:t>endeavour</w:t>
      </w:r>
      <w:r w:rsidRPr="002F48D6">
        <w:rPr>
          <w:sz w:val="20"/>
          <w:szCs w:val="20"/>
          <w:lang w:val="en-US"/>
        </w:rPr>
        <w:t>, while in practice it often involves family members and may affect multiple stakeholders.</w:t>
      </w:r>
    </w:p>
    <w:p w14:paraId="6DD7EF2A" w14:textId="6DB2004E"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Another interesting stream of research explores how population aging may affect the quality of bank lending. As aging potentially increases the pool of available savings while reducing credit demand, a larger elderly population (those aged 65 and over) could influence banks’ investment opportunities.</w:t>
      </w:r>
    </w:p>
    <w:p w14:paraId="24E2790B" w14:textId="06273C64"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Tynan and Drayton (1988) argue that the probability of elderly loan default depends on variables such as household average age, income, marital status, accumulated assets and savings, absence of long-term debt or dependents, and benefits tied to personal circumstances (e.g., tax breaks, pension income, social benefits, discounts on essentials). Thus, when offering financial products to older consumers, these factors must be considered in full.</w:t>
      </w:r>
      <w:r w:rsidR="00B90926" w:rsidRPr="002F48D6">
        <w:rPr>
          <w:sz w:val="20"/>
          <w:szCs w:val="20"/>
          <w:lang w:val="en-US"/>
        </w:rPr>
        <w:t xml:space="preserve"> </w:t>
      </w:r>
      <w:r w:rsidRPr="002F48D6">
        <w:rPr>
          <w:sz w:val="20"/>
          <w:szCs w:val="20"/>
          <w:lang w:val="en-US"/>
        </w:rPr>
        <w:t xml:space="preserve">Doerr, Kabas, and </w:t>
      </w:r>
      <w:proofErr w:type="spellStart"/>
      <w:r w:rsidRPr="002F48D6">
        <w:rPr>
          <w:sz w:val="20"/>
          <w:szCs w:val="20"/>
          <w:lang w:val="en-US"/>
        </w:rPr>
        <w:t>Ongena</w:t>
      </w:r>
      <w:proofErr w:type="spellEnd"/>
      <w:r w:rsidRPr="002F48D6">
        <w:rPr>
          <w:sz w:val="20"/>
          <w:szCs w:val="20"/>
          <w:lang w:val="en-US"/>
        </w:rPr>
        <w:t xml:space="preserve"> (2021) examined the effects of demographic change on banks’ risk-taking. Their study first </w:t>
      </w:r>
      <w:r w:rsidR="00496774" w:rsidRPr="002F48D6">
        <w:rPr>
          <w:sz w:val="20"/>
          <w:szCs w:val="20"/>
          <w:lang w:val="en-US"/>
        </w:rPr>
        <w:t>analysed</w:t>
      </w:r>
      <w:r w:rsidRPr="002F48D6">
        <w:rPr>
          <w:sz w:val="20"/>
          <w:szCs w:val="20"/>
          <w:lang w:val="en-US"/>
        </w:rPr>
        <w:t xml:space="preserve"> the relationship between aging and bank deposits between 1997 and 2007</w:t>
      </w:r>
      <w:r w:rsidR="00496774" w:rsidRPr="002F48D6">
        <w:rPr>
          <w:sz w:val="20"/>
          <w:szCs w:val="20"/>
          <w:lang w:val="en-US"/>
        </w:rPr>
        <w:t xml:space="preserve">, </w:t>
      </w:r>
      <w:r w:rsidRPr="002F48D6">
        <w:rPr>
          <w:sz w:val="20"/>
          <w:szCs w:val="20"/>
          <w:lang w:val="en-US"/>
        </w:rPr>
        <w:t xml:space="preserve">a period during which the elderly population grew by nearly 20%. The initial findings revealed that an increase in elderly individuals had a significant positive effect on local bank deposits. The study then examined how aging influences local bank lending and risk-taking </w:t>
      </w:r>
      <w:r w:rsidR="00496774" w:rsidRPr="002F48D6">
        <w:rPr>
          <w:sz w:val="20"/>
          <w:szCs w:val="20"/>
          <w:lang w:val="en-US"/>
        </w:rPr>
        <w:t>behaviour.</w:t>
      </w:r>
    </w:p>
    <w:p w14:paraId="00C568BA" w14:textId="77777777"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 xml:space="preserve">At the systemic level, several studies have investigated how changes in population age structure affect various asset classes, both financial and non-financial. </w:t>
      </w:r>
      <w:proofErr w:type="spellStart"/>
      <w:r w:rsidRPr="002F48D6">
        <w:rPr>
          <w:sz w:val="20"/>
          <w:szCs w:val="20"/>
          <w:lang w:val="en-US"/>
        </w:rPr>
        <w:t>Macunovich</w:t>
      </w:r>
      <w:proofErr w:type="spellEnd"/>
      <w:r w:rsidRPr="002F48D6">
        <w:rPr>
          <w:sz w:val="20"/>
          <w:szCs w:val="20"/>
          <w:lang w:val="en-US"/>
        </w:rPr>
        <w:t xml:space="preserve"> (1997) explored the relationship between average Dow Jones returns and aging. Similarly, Axel et al. (2001) and Li et al. (2011) found that shifts in the age structure of the U.S. population significantly influenced U.S. stock price movements.</w:t>
      </w:r>
    </w:p>
    <w:p w14:paraId="70C07D62" w14:textId="50E70251"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 xml:space="preserve">Regarding real estate prices, Cui (2015) revealed that demographic changes in age structure have a substantial impact. Deng, Huang, and Xu (2019) found that real estate demand varies across the life cycle, decreasing as individuals age. Andrews and Sanchez (2011) argued that a higher share of the working population is associated with increased </w:t>
      </w:r>
      <w:r w:rsidRPr="002F48D6">
        <w:rPr>
          <w:sz w:val="20"/>
          <w:szCs w:val="20"/>
          <w:lang w:val="en-US"/>
        </w:rPr>
        <w:lastRenderedPageBreak/>
        <w:t xml:space="preserve">housing demand and rising property prices, whereas a larger share of elderly individuals may correspond to a decline in housing prices. From the perspective of the elderly dependency ratio, a higher ratio translates to greater pressure on the </w:t>
      </w:r>
      <w:r w:rsidR="00496774" w:rsidRPr="002F48D6">
        <w:rPr>
          <w:sz w:val="20"/>
          <w:szCs w:val="20"/>
          <w:lang w:val="en-US"/>
        </w:rPr>
        <w:t>labour</w:t>
      </w:r>
      <w:r w:rsidRPr="002F48D6">
        <w:rPr>
          <w:sz w:val="20"/>
          <w:szCs w:val="20"/>
          <w:lang w:val="en-US"/>
        </w:rPr>
        <w:t xml:space="preserve"> force, increasing the likelihood of declining real estate values (Xu et al., 201</w:t>
      </w:r>
      <w:r w:rsidR="0016780B" w:rsidRPr="002F48D6">
        <w:rPr>
          <w:sz w:val="20"/>
          <w:szCs w:val="20"/>
          <w:lang w:val="en-US"/>
        </w:rPr>
        <w:t>9</w:t>
      </w:r>
      <w:r w:rsidRPr="002F48D6">
        <w:rPr>
          <w:sz w:val="20"/>
          <w:szCs w:val="20"/>
          <w:lang w:val="en-US"/>
        </w:rPr>
        <w:t>).</w:t>
      </w:r>
    </w:p>
    <w:p w14:paraId="728A878D" w14:textId="6EE18CFD"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 xml:space="preserve">Bakshi and Chen (1994), in </w:t>
      </w:r>
      <w:r w:rsidR="00496774" w:rsidRPr="002F48D6">
        <w:rPr>
          <w:sz w:val="20"/>
          <w:szCs w:val="20"/>
          <w:lang w:val="en-US"/>
        </w:rPr>
        <w:t>analysing</w:t>
      </w:r>
      <w:r w:rsidRPr="002F48D6">
        <w:rPr>
          <w:sz w:val="20"/>
          <w:szCs w:val="20"/>
          <w:lang w:val="en-US"/>
        </w:rPr>
        <w:t xml:space="preserve"> the relationship between age structure and household investment portfolios, concluded that demographic shifts significantly affect financial system stability. Similarly, Poterba et al. (2005) showed that population age distribution impacts financial stability.</w:t>
      </w:r>
    </w:p>
    <w:p w14:paraId="7592FADC" w14:textId="6C89557F"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 xml:space="preserve">Li et al. (2022) focused on how demographic changes affect financial stability by constructing a Financial Stability Conditions Index (FSCI) based on data from 32 countries. Their empirical analysis confirmed that population aging influences financial stability, though the effects vary across different age structures and national contexts. While working-age individuals remain the backbone of financial markets, the elderly contribute to long-term financial stability through their risk-averse attitudes. Furthermore, changes in age structure were found to influence household asset allocation and pricing </w:t>
      </w:r>
      <w:r w:rsidR="00496774" w:rsidRPr="002F48D6">
        <w:rPr>
          <w:sz w:val="20"/>
          <w:szCs w:val="20"/>
          <w:lang w:val="en-US"/>
        </w:rPr>
        <w:t>behaviour.</w:t>
      </w:r>
    </w:p>
    <w:p w14:paraId="5CBBF725" w14:textId="77777777" w:rsidR="00DE359B" w:rsidRPr="002F48D6" w:rsidRDefault="00DE359B" w:rsidP="002F48D6">
      <w:pPr>
        <w:spacing w:afterLines="80" w:after="192" w:line="240" w:lineRule="exact"/>
        <w:contextualSpacing/>
        <w:jc w:val="both"/>
        <w:rPr>
          <w:sz w:val="20"/>
          <w:szCs w:val="20"/>
          <w:lang w:val="en-US"/>
        </w:rPr>
      </w:pPr>
    </w:p>
    <w:p w14:paraId="1E2CB445" w14:textId="2CAE9521" w:rsidR="006B762A" w:rsidRDefault="00DE359B" w:rsidP="002F48D6">
      <w:pPr>
        <w:widowControl w:val="0"/>
        <w:spacing w:after="80" w:line="240" w:lineRule="exact"/>
        <w:jc w:val="both"/>
        <w:rPr>
          <w:rFonts w:eastAsia="SimSun"/>
          <w:b/>
          <w:bCs/>
          <w:iCs/>
          <w:kern w:val="2"/>
          <w:sz w:val="20"/>
          <w:lang w:val="en-US" w:eastAsia="zh-CN"/>
        </w:rPr>
      </w:pPr>
      <w:r w:rsidRPr="002F48D6">
        <w:rPr>
          <w:rFonts w:eastAsia="SimSun"/>
          <w:b/>
          <w:bCs/>
          <w:iCs/>
          <w:kern w:val="2"/>
          <w:sz w:val="20"/>
          <w:lang w:val="en-US" w:eastAsia="zh-CN"/>
        </w:rPr>
        <w:t>6.</w:t>
      </w:r>
      <w:r w:rsidR="006B762A" w:rsidRPr="002F48D6">
        <w:rPr>
          <w:rFonts w:eastAsia="SimSun"/>
          <w:b/>
          <w:bCs/>
          <w:iCs/>
          <w:kern w:val="2"/>
          <w:sz w:val="20"/>
          <w:lang w:val="en-US" w:eastAsia="zh-CN"/>
        </w:rPr>
        <w:t xml:space="preserve"> </w:t>
      </w:r>
      <w:r w:rsidR="00901BA9" w:rsidRPr="002F48D6">
        <w:rPr>
          <w:rFonts w:eastAsia="SimSun"/>
          <w:b/>
          <w:bCs/>
          <w:iCs/>
          <w:kern w:val="2"/>
          <w:sz w:val="20"/>
          <w:lang w:val="en-US" w:eastAsia="zh-CN"/>
        </w:rPr>
        <w:t>Elderly financial needs and potential implications for corporate social responsibility and ESG compliance</w:t>
      </w:r>
    </w:p>
    <w:p w14:paraId="37582405" w14:textId="77777777" w:rsidR="002F48D6" w:rsidRPr="002F48D6" w:rsidRDefault="002F48D6" w:rsidP="002F48D6">
      <w:pPr>
        <w:widowControl w:val="0"/>
        <w:spacing w:after="80" w:line="240" w:lineRule="exact"/>
        <w:jc w:val="both"/>
        <w:rPr>
          <w:rFonts w:eastAsia="SimSun"/>
          <w:b/>
          <w:bCs/>
          <w:iCs/>
          <w:kern w:val="2"/>
          <w:sz w:val="20"/>
          <w:lang w:val="en-US" w:eastAsia="zh-CN"/>
        </w:rPr>
      </w:pPr>
    </w:p>
    <w:p w14:paraId="340C7D74" w14:textId="0C736948"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Building on the discussion presented in the previous sections, while the financial needs of older adults may vary according to individual circumstances, several fundamental conditions consistently influence their financial security. These include reliance on pensions and fixed income, the necessity for mechanisms to cover rising healthcare expenses</w:t>
      </w:r>
      <w:r w:rsidR="00496774" w:rsidRPr="002F48D6">
        <w:rPr>
          <w:sz w:val="20"/>
          <w:szCs w:val="20"/>
          <w:lang w:val="en-US"/>
        </w:rPr>
        <w:t xml:space="preserve">, </w:t>
      </w:r>
      <w:r w:rsidRPr="002F48D6">
        <w:rPr>
          <w:sz w:val="20"/>
          <w:szCs w:val="20"/>
          <w:lang w:val="en-US"/>
        </w:rPr>
        <w:t>which can represent a significant burden for elderly individuals and their families</w:t>
      </w:r>
      <w:r w:rsidR="00496774" w:rsidRPr="002F48D6">
        <w:rPr>
          <w:sz w:val="20"/>
          <w:szCs w:val="20"/>
          <w:lang w:val="en-US"/>
        </w:rPr>
        <w:t xml:space="preserve">, </w:t>
      </w:r>
      <w:r w:rsidRPr="002F48D6">
        <w:rPr>
          <w:sz w:val="20"/>
          <w:szCs w:val="20"/>
          <w:lang w:val="en-US"/>
        </w:rPr>
        <w:t>and the need for infrastructure that ensures adequate access to financial services.</w:t>
      </w:r>
    </w:p>
    <w:p w14:paraId="4AA54741" w14:textId="77777777"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With respect to the first point, older adults often depend on pensions and other forms of fixed income to meet their financial needs. It is therefore imperative to ensure that pension systems are robust and financially sustainable over the long term to provide adequate financial security for this demographic.</w:t>
      </w:r>
    </w:p>
    <w:p w14:paraId="3A33228F" w14:textId="52650C3B"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 xml:space="preserve">In this regard, the integration of Environmental, Social, and Governance (ESG) principles into pension fund management has attracted considerable attention in the global financial sector. </w:t>
      </w:r>
      <w:proofErr w:type="spellStart"/>
      <w:r w:rsidRPr="002F48D6">
        <w:rPr>
          <w:sz w:val="20"/>
          <w:szCs w:val="20"/>
          <w:lang w:val="en-US"/>
        </w:rPr>
        <w:t>Ikwue</w:t>
      </w:r>
      <w:proofErr w:type="spellEnd"/>
      <w:r w:rsidRPr="002F48D6">
        <w:rPr>
          <w:sz w:val="20"/>
          <w:szCs w:val="20"/>
          <w:lang w:val="en-US"/>
        </w:rPr>
        <w:t xml:space="preserve">, </w:t>
      </w:r>
      <w:proofErr w:type="spellStart"/>
      <w:r w:rsidRPr="002F48D6">
        <w:rPr>
          <w:sz w:val="20"/>
          <w:szCs w:val="20"/>
          <w:lang w:val="en-US"/>
        </w:rPr>
        <w:t>Uneku</w:t>
      </w:r>
      <w:proofErr w:type="spellEnd"/>
      <w:r w:rsidRPr="002F48D6">
        <w:rPr>
          <w:sz w:val="20"/>
          <w:szCs w:val="20"/>
          <w:lang w:val="en-US"/>
        </w:rPr>
        <w:t>, et al. (2023) provide a comprehensive comparative analysis of ESG adoption in pension fund management between the United States and Nigeria. Their study offers an overview of current trends, challenges, and implications surrounding ESG integration in distinct national contexts. The United States, with its mature financial markets, demonstrates a systematic and advanced approach to ESG adoption, facilitated by technological innovation, strong regulatory frameworks, and a growing shift toward sustainable investing. In contrast, Nigeria</w:t>
      </w:r>
      <w:r w:rsidR="00496774" w:rsidRPr="002F48D6">
        <w:rPr>
          <w:sz w:val="20"/>
          <w:szCs w:val="20"/>
          <w:lang w:val="en-US"/>
        </w:rPr>
        <w:t xml:space="preserve">, </w:t>
      </w:r>
      <w:r w:rsidRPr="002F48D6">
        <w:rPr>
          <w:sz w:val="20"/>
          <w:szCs w:val="20"/>
          <w:lang w:val="en-US"/>
        </w:rPr>
        <w:t>an emerging market</w:t>
      </w:r>
      <w:r w:rsidR="00496774" w:rsidRPr="002F48D6">
        <w:rPr>
          <w:sz w:val="20"/>
          <w:szCs w:val="20"/>
          <w:lang w:val="en-US"/>
        </w:rPr>
        <w:t xml:space="preserve">, </w:t>
      </w:r>
      <w:r w:rsidRPr="002F48D6">
        <w:rPr>
          <w:sz w:val="20"/>
          <w:szCs w:val="20"/>
          <w:lang w:val="en-US"/>
        </w:rPr>
        <w:t>is still in the early stages of ESG integration, facing challenges such as limited data availability, complex regulatory environments, and an urgent need for ESG-related education.</w:t>
      </w:r>
      <w:r w:rsidR="00B90926" w:rsidRPr="002F48D6">
        <w:rPr>
          <w:sz w:val="20"/>
          <w:szCs w:val="20"/>
          <w:lang w:val="en-US"/>
        </w:rPr>
        <w:t xml:space="preserve"> </w:t>
      </w:r>
      <w:r w:rsidRPr="002F48D6">
        <w:rPr>
          <w:sz w:val="20"/>
          <w:szCs w:val="20"/>
          <w:lang w:val="en-US"/>
        </w:rPr>
        <w:t xml:space="preserve">The authors find a positive correlation between ESG integration and improved financial performance. Pension funds that prioritize ESG principles tend to demonstrate resilience in volatile markets and often outperform their non-ESG counterparts. This underscores the dual role of ESG factors as both a moral imperative and a financial strategy. The study also explores </w:t>
      </w:r>
      <w:r w:rsidR="0086669D" w:rsidRPr="002F48D6">
        <w:rPr>
          <w:sz w:val="20"/>
          <w:szCs w:val="20"/>
          <w:lang w:val="en-US"/>
        </w:rPr>
        <w:t>prospects</w:t>
      </w:r>
      <w:r w:rsidRPr="002F48D6">
        <w:rPr>
          <w:sz w:val="20"/>
          <w:szCs w:val="20"/>
          <w:lang w:val="en-US"/>
        </w:rPr>
        <w:t xml:space="preserve"> for ESG adoption in both countries. While the United States is poised for deeper integration of ESG principles, leveraging technological and regulatory advancements, Nigeria stands at a crossroads. Its future trajectory will depend on its capacity to address current challenges and foster a culture of sustainable investment.</w:t>
      </w:r>
    </w:p>
    <w:p w14:paraId="5AAB339C" w14:textId="686893FF"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In conclusion, the research emphasizes that ESG integration into pension fund management reflects a profound shift in financial paradigms</w:t>
      </w:r>
      <w:r w:rsidR="00496774" w:rsidRPr="002F48D6">
        <w:rPr>
          <w:sz w:val="20"/>
          <w:szCs w:val="20"/>
          <w:lang w:val="en-US"/>
        </w:rPr>
        <w:t xml:space="preserve">, </w:t>
      </w:r>
      <w:r w:rsidRPr="002F48D6">
        <w:rPr>
          <w:sz w:val="20"/>
          <w:szCs w:val="20"/>
          <w:lang w:val="en-US"/>
        </w:rPr>
        <w:t>one that promises beneficiaries a secure, sustainable, and ethically grounded financial future. The comparative experiences of the United States and Nigeria offer valuable insights and serve as a benchmark for pension funds worldwide as they navigate the evolving complexities of sustainable finance.</w:t>
      </w:r>
    </w:p>
    <w:p w14:paraId="7B1CC311" w14:textId="7F129B7D"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Beyond pension-related concerns, older adults may face specific financial service needs, ranging from physical access to financial institutions and advisory services to products tailored to their demographic characteristics. Ensuring that elderly individuals can access such services</w:t>
      </w:r>
      <w:r w:rsidR="00496774" w:rsidRPr="002F48D6">
        <w:rPr>
          <w:sz w:val="20"/>
          <w:szCs w:val="20"/>
          <w:lang w:val="en-US"/>
        </w:rPr>
        <w:t xml:space="preserve">, </w:t>
      </w:r>
      <w:r w:rsidRPr="002F48D6">
        <w:rPr>
          <w:sz w:val="20"/>
          <w:szCs w:val="20"/>
          <w:lang w:val="en-US"/>
        </w:rPr>
        <w:t>while fully understanding the mechanisms underlying the financial operations they undertake</w:t>
      </w:r>
      <w:r w:rsidR="00496774" w:rsidRPr="002F48D6">
        <w:rPr>
          <w:sz w:val="20"/>
          <w:szCs w:val="20"/>
          <w:lang w:val="en-US"/>
        </w:rPr>
        <w:t xml:space="preserve">, </w:t>
      </w:r>
      <w:r w:rsidRPr="002F48D6">
        <w:rPr>
          <w:sz w:val="20"/>
          <w:szCs w:val="20"/>
          <w:lang w:val="en-US"/>
        </w:rPr>
        <w:t>is essential to support effective resource management.</w:t>
      </w:r>
    </w:p>
    <w:p w14:paraId="21434FEB" w14:textId="77777777"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In terms of Corporate Social Responsibility (CSR) and Environmental, Social, and Governance (ESG) compliance, financial intermediaries can play a crucial role in mitigating the challenges faced by elderly populations and contribute meaningfully to addressing issues linked to demographic aging. Their contribution can materialize through the development of responsible financial products and services, sustainable investment practices, and community engagement initiatives.</w:t>
      </w:r>
    </w:p>
    <w:p w14:paraId="3EF5C174" w14:textId="4B61DB76"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Financial institutions can develop and offer products and services specifically designed to meet the needs of older consumers. These may include retirement savings plans, age-appropriate insurance products, and financial instruments that prioritize transparency, consumer protection, and affordability for the elderly. Offering responsible financial solutions not only addresses a social need but also enhances the institution’s ethical standing and long-term credibility.</w:t>
      </w:r>
      <w:r w:rsidR="00B90926" w:rsidRPr="002F48D6">
        <w:rPr>
          <w:sz w:val="20"/>
          <w:szCs w:val="20"/>
          <w:lang w:val="en-US"/>
        </w:rPr>
        <w:t xml:space="preserve"> </w:t>
      </w:r>
      <w:r w:rsidRPr="002F48D6">
        <w:rPr>
          <w:sz w:val="20"/>
          <w:szCs w:val="20"/>
          <w:lang w:val="en-US"/>
        </w:rPr>
        <w:t xml:space="preserve">Financial intermediaries can also integrate ESG principles into their investment strategies by paying attention to the social and environmental implications of aging. This could involve investing in sectors such as healthcare and elderly care, assistive technologies, age-friendly housing, and other innovative solutions that contribute to improving the quality of life for the elderly. Such investment choices align with ESG goals while tapping into sectors of growing social and economic </w:t>
      </w:r>
      <w:r w:rsidRPr="002F48D6">
        <w:rPr>
          <w:sz w:val="20"/>
          <w:szCs w:val="20"/>
          <w:lang w:val="en-US"/>
        </w:rPr>
        <w:lastRenderedPageBreak/>
        <w:t>relevance.</w:t>
      </w:r>
      <w:r w:rsidR="00B90926" w:rsidRPr="002F48D6">
        <w:rPr>
          <w:sz w:val="20"/>
          <w:szCs w:val="20"/>
          <w:lang w:val="en-US"/>
        </w:rPr>
        <w:t xml:space="preserve"> </w:t>
      </w:r>
      <w:r w:rsidRPr="002F48D6">
        <w:rPr>
          <w:sz w:val="20"/>
          <w:szCs w:val="20"/>
          <w:lang w:val="en-US"/>
        </w:rPr>
        <w:t>Given their visibility and position in society, financial institutions are uniquely placed to foster community engagement initiatives that promote elderly well-being. This may include partnerships with nonprofit organizations focused on aging, the organization of events or educational programs that support physical and mental health among seniors, and the promotion of corporate volunteer programs aimed at assisting elderly individuals in financial literacy and resource access.</w:t>
      </w:r>
    </w:p>
    <w:p w14:paraId="750B5442" w14:textId="77777777"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In summary, the financial inclusion and protection of the elderly are not only matters of ethical responsibility but also strategic opportunities for financial institutions to align with global sustainability standards. By actively responding to the needs of an aging society through tailored financial services and ESG-aligned operations, financial intermediaries can simultaneously enhance social impact and strengthen their market position in a rapidly evolving financial ecosystem.</w:t>
      </w:r>
    </w:p>
    <w:p w14:paraId="091A4EC1" w14:textId="77777777" w:rsidR="00610D0F" w:rsidRPr="002F48D6" w:rsidRDefault="00610D0F" w:rsidP="002F48D6">
      <w:pPr>
        <w:spacing w:afterLines="80" w:after="192" w:line="240" w:lineRule="exact"/>
        <w:contextualSpacing/>
        <w:jc w:val="both"/>
        <w:rPr>
          <w:sz w:val="20"/>
          <w:szCs w:val="20"/>
          <w:lang w:val="en-US"/>
        </w:rPr>
      </w:pPr>
    </w:p>
    <w:p w14:paraId="5D120B5D" w14:textId="1A4C72C5" w:rsidR="006B762A" w:rsidRDefault="00DE359B" w:rsidP="002F48D6">
      <w:pPr>
        <w:widowControl w:val="0"/>
        <w:spacing w:after="80" w:line="240" w:lineRule="exact"/>
        <w:jc w:val="both"/>
        <w:rPr>
          <w:rFonts w:eastAsia="SimSun"/>
          <w:b/>
          <w:bCs/>
          <w:iCs/>
          <w:kern w:val="2"/>
          <w:sz w:val="20"/>
          <w:lang w:val="en-US" w:eastAsia="zh-CN"/>
        </w:rPr>
      </w:pPr>
      <w:r w:rsidRPr="002F48D6">
        <w:rPr>
          <w:rFonts w:eastAsia="SimSun"/>
          <w:b/>
          <w:bCs/>
          <w:iCs/>
          <w:kern w:val="2"/>
          <w:sz w:val="20"/>
          <w:lang w:val="en-US" w:eastAsia="zh-CN"/>
        </w:rPr>
        <w:t>7.</w:t>
      </w:r>
      <w:r w:rsidR="006B762A" w:rsidRPr="002F48D6">
        <w:rPr>
          <w:rFonts w:eastAsia="SimSun"/>
          <w:b/>
          <w:bCs/>
          <w:iCs/>
          <w:kern w:val="2"/>
          <w:sz w:val="20"/>
          <w:lang w:val="en-US" w:eastAsia="zh-CN"/>
        </w:rPr>
        <w:t xml:space="preserve"> Conclusions and Future Research Directions</w:t>
      </w:r>
    </w:p>
    <w:p w14:paraId="18204B1D" w14:textId="77777777" w:rsidR="002F48D6" w:rsidRPr="002F48D6" w:rsidRDefault="002F48D6" w:rsidP="002F48D6">
      <w:pPr>
        <w:spacing w:afterLines="80" w:after="192" w:line="240" w:lineRule="exact"/>
        <w:ind w:firstLine="425"/>
        <w:contextualSpacing/>
        <w:jc w:val="both"/>
        <w:rPr>
          <w:sz w:val="20"/>
          <w:szCs w:val="20"/>
          <w:lang w:val="en-US"/>
        </w:rPr>
      </w:pPr>
    </w:p>
    <w:p w14:paraId="184AD750" w14:textId="6AF2BB7C"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 xml:space="preserve">The progressive aging of the population represents one of the most pressing </w:t>
      </w:r>
      <w:r w:rsidR="0086669D" w:rsidRPr="002F48D6">
        <w:rPr>
          <w:sz w:val="20"/>
          <w:szCs w:val="20"/>
          <w:lang w:val="en-US"/>
        </w:rPr>
        <w:t>demographics</w:t>
      </w:r>
      <w:r w:rsidRPr="002F48D6">
        <w:rPr>
          <w:sz w:val="20"/>
          <w:szCs w:val="20"/>
          <w:lang w:val="en-US"/>
        </w:rPr>
        <w:t>, social, and economic challenges for contemporary societies. As highlighted in this contribution, elderly individuals</w:t>
      </w:r>
      <w:r w:rsidR="00496774" w:rsidRPr="002F48D6">
        <w:rPr>
          <w:sz w:val="20"/>
          <w:szCs w:val="20"/>
          <w:lang w:val="en-US"/>
        </w:rPr>
        <w:t xml:space="preserve">, </w:t>
      </w:r>
      <w:r w:rsidRPr="002F48D6">
        <w:rPr>
          <w:sz w:val="20"/>
          <w:szCs w:val="20"/>
          <w:lang w:val="en-US"/>
        </w:rPr>
        <w:t>particularly those characterized by conditions of fragility</w:t>
      </w:r>
      <w:r w:rsidR="00496774" w:rsidRPr="002F48D6">
        <w:rPr>
          <w:sz w:val="20"/>
          <w:szCs w:val="20"/>
          <w:lang w:val="en-US"/>
        </w:rPr>
        <w:t xml:space="preserve">, </w:t>
      </w:r>
      <w:r w:rsidRPr="002F48D6">
        <w:rPr>
          <w:sz w:val="20"/>
          <w:szCs w:val="20"/>
          <w:lang w:val="en-US"/>
        </w:rPr>
        <w:t>face increasingly complex financial, healthcare, and social needs, often unmet by existing welfare systems or financial markets.</w:t>
      </w:r>
    </w:p>
    <w:p w14:paraId="5BF34511" w14:textId="5276C3E6"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 xml:space="preserve">This paper has reviewed the literature concerning the financial </w:t>
      </w:r>
      <w:r w:rsidR="00496774" w:rsidRPr="002F48D6">
        <w:rPr>
          <w:sz w:val="20"/>
          <w:szCs w:val="20"/>
          <w:lang w:val="en-US"/>
        </w:rPr>
        <w:t>behaviour</w:t>
      </w:r>
      <w:r w:rsidRPr="002F48D6">
        <w:rPr>
          <w:sz w:val="20"/>
          <w:szCs w:val="20"/>
          <w:lang w:val="en-US"/>
        </w:rPr>
        <w:t>s and investment decisions of the elderly, identifying the principal determinants influencing their choices</w:t>
      </w:r>
      <w:r w:rsidR="00496774" w:rsidRPr="002F48D6">
        <w:rPr>
          <w:sz w:val="20"/>
          <w:szCs w:val="20"/>
          <w:lang w:val="en-US"/>
        </w:rPr>
        <w:t xml:space="preserve">, </w:t>
      </w:r>
      <w:r w:rsidRPr="002F48D6">
        <w:rPr>
          <w:sz w:val="20"/>
          <w:szCs w:val="20"/>
          <w:lang w:val="en-US"/>
        </w:rPr>
        <w:t>such as risk aversion, income levels, education, cognitive capabilities, financial literacy, family context, and susceptibility to fraud. These factors significantly shape how older adults manage their financial resources, particularly in retirement, and reveal the urgent need for more inclusive, customized, and accessible financial services.</w:t>
      </w:r>
    </w:p>
    <w:p w14:paraId="033F5DA6" w14:textId="31462A31"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 xml:space="preserve">Furthermore, we have </w:t>
      </w:r>
      <w:r w:rsidR="00496774" w:rsidRPr="002F48D6">
        <w:rPr>
          <w:sz w:val="20"/>
          <w:szCs w:val="20"/>
          <w:lang w:val="en-US"/>
        </w:rPr>
        <w:t>analysed</w:t>
      </w:r>
      <w:r w:rsidRPr="002F48D6">
        <w:rPr>
          <w:sz w:val="20"/>
          <w:szCs w:val="20"/>
          <w:lang w:val="en-US"/>
        </w:rPr>
        <w:t xml:space="preserve"> the current offerings of financial markets with respect to the elderly population, emphasizing the need to segment this demographic and develop services tailored to its heterogeneous needs. Elderly consumers should not be treated as a monolithic group, but rather as a diverse population whose financial attitudes and </w:t>
      </w:r>
      <w:r w:rsidR="00496774" w:rsidRPr="002F48D6">
        <w:rPr>
          <w:sz w:val="20"/>
          <w:szCs w:val="20"/>
          <w:lang w:val="en-US"/>
        </w:rPr>
        <w:t>behaviour</w:t>
      </w:r>
      <w:r w:rsidRPr="002F48D6">
        <w:rPr>
          <w:sz w:val="20"/>
          <w:szCs w:val="20"/>
          <w:lang w:val="en-US"/>
        </w:rPr>
        <w:t>s require targeted responses based on age, income, health, social support, and risk profiles.</w:t>
      </w:r>
    </w:p>
    <w:p w14:paraId="4525BE26" w14:textId="77777777"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Finally, the paper has explored the intersection between elderly financial needs and Corporate Social Responsibility (CSR), with a particular focus on Environmental, Social, and Governance (ESG) compliance. Financial intermediaries and institutions can play a pivotal role in this context. By designing responsible and inclusive products, investing in sectors relevant to the aging population, and promoting community engagement initiatives, financial institutions not only meet emerging social demands but also enhance their ESG performance and long-term sustainability.</w:t>
      </w:r>
    </w:p>
    <w:p w14:paraId="5B5AD46A" w14:textId="5323D335" w:rsidR="006B762A"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 xml:space="preserve">Future research should further explore the financial </w:t>
      </w:r>
      <w:r w:rsidR="00496774" w:rsidRPr="002F48D6">
        <w:rPr>
          <w:sz w:val="20"/>
          <w:szCs w:val="20"/>
          <w:lang w:val="en-US"/>
        </w:rPr>
        <w:t>behaviour of</w:t>
      </w:r>
      <w:r w:rsidRPr="002F48D6">
        <w:rPr>
          <w:sz w:val="20"/>
          <w:szCs w:val="20"/>
          <w:lang w:val="en-US"/>
        </w:rPr>
        <w:t xml:space="preserve"> subgroups within the elderly population, particularly those affected by multidimensional vulnerabilities (e.g., low income, poor health, digital illiteracy). Longitudinal studies would be valuable in tracing the evolution of investment attitudes over time and in response to policy interventions, financial innovations, or external shocks such as pandemics or economic crises. Additionally, further empirical research is needed to assess the effectiveness of ESG-focused financial products in addressing the specific needs of elderly consumers, and to evaluate the potential of digital technologies</w:t>
      </w:r>
      <w:r w:rsidR="00496774" w:rsidRPr="002F48D6">
        <w:rPr>
          <w:sz w:val="20"/>
          <w:szCs w:val="20"/>
          <w:lang w:val="en-US"/>
        </w:rPr>
        <w:t xml:space="preserve">, </w:t>
      </w:r>
      <w:r w:rsidRPr="002F48D6">
        <w:rPr>
          <w:sz w:val="20"/>
          <w:szCs w:val="20"/>
          <w:lang w:val="en-US"/>
        </w:rPr>
        <w:t xml:space="preserve">such as </w:t>
      </w:r>
      <w:r w:rsidR="00496774" w:rsidRPr="002F48D6">
        <w:rPr>
          <w:sz w:val="20"/>
          <w:szCs w:val="20"/>
          <w:lang w:val="en-US"/>
        </w:rPr>
        <w:t>robot</w:t>
      </w:r>
      <w:r w:rsidRPr="002F48D6">
        <w:rPr>
          <w:sz w:val="20"/>
          <w:szCs w:val="20"/>
          <w:lang w:val="en-US"/>
        </w:rPr>
        <w:t>-advisors or fintech platforms</w:t>
      </w:r>
      <w:r w:rsidR="00496774" w:rsidRPr="002F48D6">
        <w:rPr>
          <w:sz w:val="20"/>
          <w:szCs w:val="20"/>
          <w:lang w:val="en-US"/>
        </w:rPr>
        <w:t xml:space="preserve">, </w:t>
      </w:r>
      <w:r w:rsidRPr="002F48D6">
        <w:rPr>
          <w:sz w:val="20"/>
          <w:szCs w:val="20"/>
          <w:lang w:val="en-US"/>
        </w:rPr>
        <w:t>in improving financial inclusion without exacerbating generational digital divides.</w:t>
      </w:r>
    </w:p>
    <w:p w14:paraId="328999E2" w14:textId="2A39D129" w:rsidR="00F90788" w:rsidRPr="002F48D6" w:rsidRDefault="006B762A" w:rsidP="002F48D6">
      <w:pPr>
        <w:spacing w:afterLines="80" w:after="192" w:line="240" w:lineRule="exact"/>
        <w:ind w:firstLine="425"/>
        <w:contextualSpacing/>
        <w:jc w:val="both"/>
        <w:rPr>
          <w:sz w:val="20"/>
          <w:szCs w:val="20"/>
          <w:lang w:val="en-US"/>
        </w:rPr>
      </w:pPr>
      <w:r w:rsidRPr="002F48D6">
        <w:rPr>
          <w:sz w:val="20"/>
          <w:szCs w:val="20"/>
          <w:lang w:val="en-US"/>
        </w:rPr>
        <w:t>In conclusion, promoting the financial well-being of the elderly should not be seen merely as a social obligation or an institutional burden, but rather as a strategic opportunity to innovate financial services, align business practices with sustainability goals, and respond effectively to one of the most profound transformations of our time: the demographic shift toward an aging society.</w:t>
      </w:r>
    </w:p>
    <w:p w14:paraId="7C10B923" w14:textId="77777777" w:rsidR="00A65F02" w:rsidRPr="002F48D6" w:rsidRDefault="00A65F02" w:rsidP="002F48D6">
      <w:pPr>
        <w:spacing w:afterLines="80" w:after="192" w:line="240" w:lineRule="exact"/>
        <w:ind w:firstLine="425"/>
        <w:contextualSpacing/>
        <w:jc w:val="both"/>
        <w:rPr>
          <w:sz w:val="20"/>
          <w:szCs w:val="20"/>
          <w:lang w:val="en-US"/>
        </w:rPr>
      </w:pPr>
    </w:p>
    <w:p w14:paraId="5731BC1F" w14:textId="77777777" w:rsidR="00A65F02" w:rsidRPr="002F48D6" w:rsidRDefault="00A65F02" w:rsidP="002F48D6">
      <w:pPr>
        <w:spacing w:afterLines="80" w:after="192" w:line="240" w:lineRule="exact"/>
        <w:contextualSpacing/>
        <w:jc w:val="both"/>
        <w:rPr>
          <w:b/>
          <w:bCs/>
          <w:sz w:val="20"/>
          <w:szCs w:val="20"/>
          <w:lang w:val="en-US"/>
        </w:rPr>
      </w:pPr>
      <w:r w:rsidRPr="002F48D6">
        <w:rPr>
          <w:b/>
          <w:bCs/>
          <w:sz w:val="20"/>
          <w:szCs w:val="20"/>
          <w:lang w:val="en-US"/>
        </w:rPr>
        <w:t>Funding</w:t>
      </w:r>
    </w:p>
    <w:p w14:paraId="2A0ACB8D" w14:textId="77777777" w:rsidR="00A65F02" w:rsidRPr="002F48D6" w:rsidRDefault="00A65F02" w:rsidP="002F48D6">
      <w:pPr>
        <w:spacing w:afterLines="80" w:after="192" w:line="240" w:lineRule="exact"/>
        <w:ind w:firstLine="425"/>
        <w:contextualSpacing/>
        <w:jc w:val="both"/>
        <w:rPr>
          <w:sz w:val="20"/>
          <w:szCs w:val="20"/>
          <w:lang w:val="en-US"/>
        </w:rPr>
      </w:pPr>
    </w:p>
    <w:p w14:paraId="7B2FB557" w14:textId="77777777" w:rsidR="00A65F02" w:rsidRPr="002F48D6" w:rsidRDefault="00A65F02" w:rsidP="002F48D6">
      <w:pPr>
        <w:spacing w:afterLines="80" w:after="192" w:line="240" w:lineRule="exact"/>
        <w:ind w:firstLine="425"/>
        <w:contextualSpacing/>
        <w:jc w:val="both"/>
        <w:rPr>
          <w:sz w:val="20"/>
          <w:szCs w:val="20"/>
          <w:lang w:val="en-US"/>
        </w:rPr>
      </w:pPr>
      <w:r w:rsidRPr="002F48D6">
        <w:rPr>
          <w:sz w:val="20"/>
          <w:szCs w:val="20"/>
          <w:lang w:val="en-US"/>
        </w:rPr>
        <w:t xml:space="preserve">This work has been funded by the European Union - </w:t>
      </w:r>
      <w:proofErr w:type="spellStart"/>
      <w:r w:rsidRPr="002F48D6">
        <w:rPr>
          <w:sz w:val="20"/>
          <w:szCs w:val="20"/>
          <w:lang w:val="en-US"/>
        </w:rPr>
        <w:t>NextGenerationEU</w:t>
      </w:r>
      <w:proofErr w:type="spellEnd"/>
      <w:r w:rsidRPr="002F48D6">
        <w:rPr>
          <w:sz w:val="20"/>
          <w:szCs w:val="20"/>
          <w:lang w:val="en-US"/>
        </w:rPr>
        <w:t xml:space="preserve"> under the Italian Ministry of University and Research (MUR) - National Innovation Ecosystem grant ECS00000041 - VITALITY – CUP D83C22000710005.</w:t>
      </w:r>
    </w:p>
    <w:p w14:paraId="12A2207A" w14:textId="77777777" w:rsidR="002F48D6" w:rsidRDefault="002F48D6" w:rsidP="002F48D6">
      <w:pPr>
        <w:spacing w:afterLines="80" w:after="192" w:line="240" w:lineRule="exact"/>
        <w:contextualSpacing/>
        <w:jc w:val="both"/>
        <w:rPr>
          <w:b/>
          <w:bCs/>
          <w:sz w:val="20"/>
          <w:szCs w:val="20"/>
          <w:lang w:val="en-US"/>
        </w:rPr>
      </w:pPr>
    </w:p>
    <w:p w14:paraId="49476466" w14:textId="35E0F84B" w:rsidR="00A65F02" w:rsidRPr="002F48D6" w:rsidRDefault="00A65F02" w:rsidP="002F48D6">
      <w:pPr>
        <w:spacing w:afterLines="80" w:after="192" w:line="240" w:lineRule="exact"/>
        <w:contextualSpacing/>
        <w:jc w:val="both"/>
        <w:rPr>
          <w:b/>
          <w:bCs/>
          <w:sz w:val="20"/>
          <w:szCs w:val="20"/>
          <w:lang w:val="en-US"/>
        </w:rPr>
      </w:pPr>
      <w:r w:rsidRPr="002F48D6">
        <w:rPr>
          <w:b/>
          <w:bCs/>
          <w:sz w:val="20"/>
          <w:szCs w:val="20"/>
          <w:lang w:val="en-US"/>
        </w:rPr>
        <w:t>References</w:t>
      </w:r>
    </w:p>
    <w:p w14:paraId="0FCD7EAE" w14:textId="77777777" w:rsidR="00F16872" w:rsidRPr="002F48D6" w:rsidRDefault="00F16872" w:rsidP="002F48D6">
      <w:pPr>
        <w:spacing w:afterLines="80" w:after="192" w:line="240" w:lineRule="exact"/>
        <w:contextualSpacing/>
        <w:jc w:val="both"/>
        <w:rPr>
          <w:b/>
          <w:bCs/>
          <w:sz w:val="20"/>
          <w:szCs w:val="20"/>
          <w:lang w:val="en-US"/>
        </w:rPr>
      </w:pPr>
    </w:p>
    <w:p w14:paraId="3365242F" w14:textId="77777777" w:rsidR="004F507F" w:rsidRPr="003F2292" w:rsidRDefault="004F507F" w:rsidP="003F2292">
      <w:pPr>
        <w:spacing w:after="16"/>
        <w:ind w:left="426" w:hanging="426"/>
        <w:contextualSpacing/>
        <w:jc w:val="both"/>
        <w:rPr>
          <w:sz w:val="20"/>
          <w:szCs w:val="20"/>
          <w:lang w:val="en-US"/>
        </w:rPr>
      </w:pPr>
      <w:r w:rsidRPr="003F2292">
        <w:rPr>
          <w:sz w:val="20"/>
          <w:szCs w:val="20"/>
          <w:lang w:val="en-US"/>
        </w:rPr>
        <w:t>Alanko, E., &amp; Elias, R. (2009). What Drives Investors’ Risk Appetite: Empirical Evidence from Private Finnish Investors 2007-2008. Helsinki School of Economics.</w:t>
      </w:r>
    </w:p>
    <w:p w14:paraId="4A29E86E"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Andrews, D., &amp; Sanchez, A. C. (2011). Drivers of Homeownership Rates in Selected OECD Countries. </w:t>
      </w:r>
      <w:r w:rsidRPr="003F2292">
        <w:rPr>
          <w:i/>
          <w:iCs/>
          <w:color w:val="000000" w:themeColor="text1"/>
          <w:sz w:val="20"/>
          <w:szCs w:val="20"/>
          <w:lang w:val="en-GB"/>
        </w:rPr>
        <w:t>OECD Economics Department Working Papers, No. 849</w:t>
      </w:r>
      <w:r w:rsidRPr="003F2292">
        <w:rPr>
          <w:color w:val="000000" w:themeColor="text1"/>
          <w:sz w:val="20"/>
          <w:szCs w:val="20"/>
          <w:lang w:val="en-GB"/>
        </w:rPr>
        <w:t>. OECD Publishing.</w:t>
      </w:r>
    </w:p>
    <w:p w14:paraId="44C69722"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Asebedo, S. D., &amp; Seay, M. C. (2018). Financial Self-Efficacy and the Saving Behaviour of Older Pre-Retirees. </w:t>
      </w:r>
      <w:r w:rsidRPr="003F2292">
        <w:rPr>
          <w:i/>
          <w:iCs/>
          <w:color w:val="000000" w:themeColor="text1"/>
          <w:sz w:val="20"/>
          <w:szCs w:val="20"/>
          <w:lang w:val="en-GB"/>
        </w:rPr>
        <w:t xml:space="preserve">Journal of Financial </w:t>
      </w:r>
      <w:proofErr w:type="spellStart"/>
      <w:r w:rsidRPr="003F2292">
        <w:rPr>
          <w:i/>
          <w:iCs/>
          <w:color w:val="000000" w:themeColor="text1"/>
          <w:sz w:val="20"/>
          <w:szCs w:val="20"/>
          <w:lang w:val="en-GB"/>
        </w:rPr>
        <w:t>Counseling</w:t>
      </w:r>
      <w:proofErr w:type="spellEnd"/>
      <w:r w:rsidRPr="003F2292">
        <w:rPr>
          <w:i/>
          <w:iCs/>
          <w:color w:val="000000" w:themeColor="text1"/>
          <w:sz w:val="20"/>
          <w:szCs w:val="20"/>
          <w:lang w:val="en-GB"/>
        </w:rPr>
        <w:t xml:space="preserve"> and Planning</w:t>
      </w:r>
      <w:r w:rsidRPr="003F2292">
        <w:rPr>
          <w:color w:val="000000" w:themeColor="text1"/>
          <w:sz w:val="20"/>
          <w:szCs w:val="20"/>
          <w:lang w:val="en-GB"/>
        </w:rPr>
        <w:t>, 29(2), 357–368.</w:t>
      </w:r>
    </w:p>
    <w:p w14:paraId="11A0BEA8"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Axel, A., Morley, J., &amp; Tien, Y. (2001). Aging and the Stock Market: Evidence from the U.S. </w:t>
      </w:r>
      <w:r w:rsidRPr="003F2292">
        <w:rPr>
          <w:i/>
          <w:iCs/>
          <w:color w:val="000000" w:themeColor="text1"/>
          <w:sz w:val="20"/>
          <w:szCs w:val="20"/>
          <w:lang w:val="en-GB"/>
        </w:rPr>
        <w:t>Journal of Financial Planning</w:t>
      </w:r>
      <w:r w:rsidRPr="003F2292">
        <w:rPr>
          <w:color w:val="000000" w:themeColor="text1"/>
          <w:sz w:val="20"/>
          <w:szCs w:val="20"/>
          <w:lang w:val="en-GB"/>
        </w:rPr>
        <w:t>, 14(3), 54–62.</w:t>
      </w:r>
    </w:p>
    <w:p w14:paraId="5EBEFB8F"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Bakshi, G. S., &amp; Chen, Z. (1994). Baby Boom, Population Aging, and Capital Markets. </w:t>
      </w:r>
      <w:r w:rsidRPr="003F2292">
        <w:rPr>
          <w:i/>
          <w:iCs/>
          <w:color w:val="000000" w:themeColor="text1"/>
          <w:sz w:val="20"/>
          <w:szCs w:val="20"/>
          <w:lang w:val="en-GB"/>
        </w:rPr>
        <w:t>Journal of Business</w:t>
      </w:r>
      <w:r w:rsidRPr="003F2292">
        <w:rPr>
          <w:color w:val="000000" w:themeColor="text1"/>
          <w:sz w:val="20"/>
          <w:szCs w:val="20"/>
          <w:lang w:val="en-GB"/>
        </w:rPr>
        <w:t xml:space="preserve">, 67(2), 165-202. </w:t>
      </w:r>
      <w:hyperlink r:id="rId9" w:history="1">
        <w:r w:rsidRPr="003F2292">
          <w:rPr>
            <w:rStyle w:val="Collegamentoipertestuale"/>
            <w:color w:val="000000" w:themeColor="text1"/>
            <w:sz w:val="20"/>
            <w:szCs w:val="20"/>
            <w:lang w:val="en-GB"/>
          </w:rPr>
          <w:t>https://doi.org/10.1086/296631</w:t>
        </w:r>
      </w:hyperlink>
    </w:p>
    <w:p w14:paraId="5FC5968E"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lastRenderedPageBreak/>
        <w:t xml:space="preserve">Bateman, H., Louviere, J., Thorp, S., Islam, T., &amp; Satchell, S. (2010). Investment Decisions for Retirement Savings. </w:t>
      </w:r>
      <w:r w:rsidRPr="003F2292">
        <w:rPr>
          <w:i/>
          <w:iCs/>
          <w:color w:val="000000" w:themeColor="text1"/>
          <w:sz w:val="20"/>
          <w:szCs w:val="20"/>
          <w:lang w:val="en-GB"/>
        </w:rPr>
        <w:t>Journal of Consumer Affairs</w:t>
      </w:r>
      <w:r w:rsidRPr="003F2292">
        <w:rPr>
          <w:color w:val="000000" w:themeColor="text1"/>
          <w:sz w:val="20"/>
          <w:szCs w:val="20"/>
          <w:lang w:val="en-GB"/>
        </w:rPr>
        <w:t xml:space="preserve">, 44(3), 463-482. </w:t>
      </w:r>
      <w:hyperlink r:id="rId10" w:history="1">
        <w:r w:rsidRPr="003F2292">
          <w:rPr>
            <w:rStyle w:val="Collegamentoipertestuale"/>
            <w:color w:val="000000" w:themeColor="text1"/>
            <w:sz w:val="20"/>
            <w:szCs w:val="20"/>
            <w:lang w:val="en-GB"/>
          </w:rPr>
          <w:t>https://doi.org/10.1111/j.1745-6606.2010.01178.x</w:t>
        </w:r>
      </w:hyperlink>
      <w:r w:rsidRPr="003F2292">
        <w:rPr>
          <w:color w:val="000000" w:themeColor="text1"/>
          <w:sz w:val="20"/>
          <w:szCs w:val="20"/>
          <w:lang w:val="en-GB"/>
        </w:rPr>
        <w:t xml:space="preserve"> </w:t>
      </w:r>
    </w:p>
    <w:p w14:paraId="3A2DBE39"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Bearden, W. O., &amp; Wilder, R. S. (2007). Social Comparison, Social Risk, and the Consumption Function. </w:t>
      </w:r>
      <w:r w:rsidRPr="003F2292">
        <w:rPr>
          <w:i/>
          <w:iCs/>
          <w:color w:val="000000" w:themeColor="text1"/>
          <w:sz w:val="20"/>
          <w:szCs w:val="20"/>
          <w:lang w:val="en-GB"/>
        </w:rPr>
        <w:t>Journal of Consumer Research</w:t>
      </w:r>
      <w:r w:rsidRPr="003F2292">
        <w:rPr>
          <w:color w:val="000000" w:themeColor="text1"/>
          <w:sz w:val="20"/>
          <w:szCs w:val="20"/>
          <w:lang w:val="en-GB"/>
        </w:rPr>
        <w:t>, 4(3), 265-275.</w:t>
      </w:r>
    </w:p>
    <w:p w14:paraId="07E7551F"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Bertaut, C. C. (1996). Stockholding Behaviour of U.S. Households: Evidence from the 1983-1989 Survey of Consumer Finances. </w:t>
      </w:r>
      <w:r w:rsidRPr="003F2292">
        <w:rPr>
          <w:i/>
          <w:iCs/>
          <w:color w:val="000000" w:themeColor="text1"/>
          <w:sz w:val="20"/>
          <w:szCs w:val="20"/>
          <w:lang w:val="en-GB"/>
        </w:rPr>
        <w:t>Review of Economics and Statistics</w:t>
      </w:r>
      <w:r w:rsidRPr="003F2292">
        <w:rPr>
          <w:color w:val="000000" w:themeColor="text1"/>
          <w:sz w:val="20"/>
          <w:szCs w:val="20"/>
          <w:lang w:val="en-GB"/>
        </w:rPr>
        <w:t xml:space="preserve">, 78(2), 263-275. </w:t>
      </w:r>
      <w:hyperlink r:id="rId11" w:history="1">
        <w:r w:rsidRPr="003F2292">
          <w:rPr>
            <w:rStyle w:val="Collegamentoipertestuale"/>
            <w:color w:val="000000" w:themeColor="text1"/>
            <w:sz w:val="20"/>
            <w:szCs w:val="20"/>
            <w:lang w:val="en-GB"/>
          </w:rPr>
          <w:t>https://doi.org/10.2307/2109921</w:t>
        </w:r>
      </w:hyperlink>
    </w:p>
    <w:p w14:paraId="50B93385" w14:textId="77777777" w:rsidR="004F507F" w:rsidRPr="003F2292" w:rsidRDefault="004F507F" w:rsidP="003F2292">
      <w:pPr>
        <w:pStyle w:val="p1"/>
        <w:spacing w:after="16"/>
        <w:ind w:left="357" w:hanging="357"/>
        <w:contextualSpacing/>
        <w:jc w:val="both"/>
        <w:rPr>
          <w:rFonts w:ascii="Times New Roman" w:hAnsi="Times New Roman"/>
          <w:color w:val="000000" w:themeColor="text1"/>
          <w:sz w:val="20"/>
          <w:szCs w:val="20"/>
          <w:lang w:val="en-GB"/>
        </w:rPr>
      </w:pPr>
      <w:r w:rsidRPr="003F2292">
        <w:rPr>
          <w:rFonts w:ascii="Times New Roman" w:hAnsi="Times New Roman"/>
          <w:color w:val="000000" w:themeColor="text1"/>
          <w:sz w:val="20"/>
          <w:szCs w:val="20"/>
          <w:lang w:val="en-GB"/>
        </w:rPr>
        <w:t xml:space="preserve">Brennan, M., &amp; Ritch, E. (2010). Capturing the Voice of Older Consumers in Relation to Financial Products and Services. </w:t>
      </w:r>
      <w:r w:rsidRPr="003F2292">
        <w:rPr>
          <w:rFonts w:ascii="Times New Roman" w:hAnsi="Times New Roman"/>
          <w:i/>
          <w:iCs/>
          <w:color w:val="000000" w:themeColor="text1"/>
          <w:sz w:val="20"/>
          <w:szCs w:val="20"/>
          <w:lang w:val="en-GB"/>
        </w:rPr>
        <w:t>International Journal of Consumer Studies</w:t>
      </w:r>
      <w:r w:rsidRPr="003F2292">
        <w:rPr>
          <w:rFonts w:ascii="Times New Roman" w:hAnsi="Times New Roman"/>
          <w:color w:val="000000" w:themeColor="text1"/>
          <w:sz w:val="20"/>
          <w:szCs w:val="20"/>
          <w:lang w:val="en-GB"/>
        </w:rPr>
        <w:t xml:space="preserve">, 34(6), 648–655. </w:t>
      </w:r>
      <w:hyperlink r:id="rId12" w:history="1">
        <w:r w:rsidRPr="003F2292">
          <w:rPr>
            <w:rStyle w:val="Collegamentoipertestuale"/>
            <w:rFonts w:ascii="Times New Roman" w:hAnsi="Times New Roman"/>
            <w:color w:val="000000" w:themeColor="text1"/>
            <w:sz w:val="20"/>
            <w:szCs w:val="20"/>
            <w:lang w:val="en-GB"/>
          </w:rPr>
          <w:t>https://doi.org/10.1111/j.1470-6431.2009.00831.x</w:t>
        </w:r>
      </w:hyperlink>
      <w:r w:rsidRPr="003F2292">
        <w:rPr>
          <w:rFonts w:ascii="Times New Roman" w:hAnsi="Times New Roman"/>
          <w:color w:val="000000" w:themeColor="text1"/>
          <w:sz w:val="20"/>
          <w:szCs w:val="20"/>
          <w:lang w:val="en-GB"/>
        </w:rPr>
        <w:t xml:space="preserve"> </w:t>
      </w:r>
    </w:p>
    <w:p w14:paraId="6BFA4410" w14:textId="77777777" w:rsidR="004F507F" w:rsidRPr="003F2292" w:rsidRDefault="004F507F" w:rsidP="003F2292">
      <w:pPr>
        <w:pStyle w:val="p1"/>
        <w:spacing w:after="16"/>
        <w:ind w:left="357" w:hanging="357"/>
        <w:contextualSpacing/>
        <w:jc w:val="both"/>
        <w:rPr>
          <w:rFonts w:ascii="Times New Roman" w:hAnsi="Times New Roman"/>
          <w:color w:val="000000" w:themeColor="text1"/>
          <w:sz w:val="20"/>
          <w:szCs w:val="20"/>
          <w:lang w:val="en-GB"/>
        </w:rPr>
      </w:pPr>
      <w:r w:rsidRPr="003F2292">
        <w:rPr>
          <w:rFonts w:ascii="Times New Roman" w:hAnsi="Times New Roman"/>
          <w:color w:val="000000" w:themeColor="text1"/>
          <w:sz w:val="20"/>
          <w:szCs w:val="20"/>
          <w:lang w:val="en-GB"/>
        </w:rPr>
        <w:t xml:space="preserve">Brooks, C., Sangiorgi, I., Hillenbrand, C., &amp; Money, K. (2018). Why Are Older Investors Less Willing to Take Financial Risks? </w:t>
      </w:r>
      <w:r w:rsidRPr="003F2292">
        <w:rPr>
          <w:rFonts w:ascii="Times New Roman" w:hAnsi="Times New Roman"/>
          <w:i/>
          <w:iCs/>
          <w:color w:val="000000" w:themeColor="text1"/>
          <w:sz w:val="20"/>
          <w:szCs w:val="20"/>
          <w:lang w:val="en-GB"/>
        </w:rPr>
        <w:t>International Review of Financial Analysis</w:t>
      </w:r>
      <w:r w:rsidRPr="003F2292">
        <w:rPr>
          <w:rFonts w:ascii="Times New Roman" w:hAnsi="Times New Roman"/>
          <w:color w:val="000000" w:themeColor="text1"/>
          <w:sz w:val="20"/>
          <w:szCs w:val="20"/>
          <w:lang w:val="en-GB"/>
        </w:rPr>
        <w:t xml:space="preserve">, 56, 52-72. </w:t>
      </w:r>
      <w:hyperlink r:id="rId13" w:history="1">
        <w:r w:rsidRPr="003F2292">
          <w:rPr>
            <w:rStyle w:val="Collegamentoipertestuale"/>
            <w:rFonts w:ascii="Times New Roman" w:hAnsi="Times New Roman"/>
            <w:color w:val="000000" w:themeColor="text1"/>
            <w:sz w:val="20"/>
            <w:szCs w:val="20"/>
            <w:lang w:val="en-GB"/>
          </w:rPr>
          <w:t>https://doi.org/10.1016/j.irfa.2017.12.010</w:t>
        </w:r>
      </w:hyperlink>
    </w:p>
    <w:p w14:paraId="7B121657" w14:textId="77777777" w:rsidR="004F507F" w:rsidRPr="003F2292" w:rsidRDefault="004F507F" w:rsidP="003F2292">
      <w:pPr>
        <w:pStyle w:val="p1"/>
        <w:spacing w:after="16"/>
        <w:ind w:left="357" w:hanging="357"/>
        <w:contextualSpacing/>
        <w:jc w:val="both"/>
        <w:rPr>
          <w:rFonts w:ascii="Times New Roman" w:hAnsi="Times New Roman"/>
          <w:color w:val="000000" w:themeColor="text1"/>
          <w:sz w:val="20"/>
          <w:szCs w:val="20"/>
          <w:lang w:val="en-GB"/>
        </w:rPr>
      </w:pPr>
      <w:r w:rsidRPr="003F2292">
        <w:rPr>
          <w:rFonts w:ascii="Times New Roman" w:hAnsi="Times New Roman"/>
          <w:color w:val="000000" w:themeColor="text1"/>
          <w:sz w:val="20"/>
          <w:szCs w:val="20"/>
          <w:lang w:val="en-GB"/>
        </w:rPr>
        <w:t xml:space="preserve">Campbell, J. Y. (2006). Household Finance. </w:t>
      </w:r>
      <w:r w:rsidRPr="003F2292">
        <w:rPr>
          <w:rFonts w:ascii="Times New Roman" w:hAnsi="Times New Roman"/>
          <w:i/>
          <w:iCs/>
          <w:color w:val="000000" w:themeColor="text1"/>
          <w:sz w:val="20"/>
          <w:szCs w:val="20"/>
          <w:lang w:val="en-GB"/>
        </w:rPr>
        <w:t>Journal of Finance</w:t>
      </w:r>
      <w:r w:rsidRPr="003F2292">
        <w:rPr>
          <w:rFonts w:ascii="Times New Roman" w:hAnsi="Times New Roman"/>
          <w:color w:val="000000" w:themeColor="text1"/>
          <w:sz w:val="20"/>
          <w:szCs w:val="20"/>
          <w:lang w:val="en-GB"/>
        </w:rPr>
        <w:t xml:space="preserve">, 61(4), 1553-1604. </w:t>
      </w:r>
      <w:hyperlink r:id="rId14" w:history="1">
        <w:r w:rsidRPr="003F2292">
          <w:rPr>
            <w:rStyle w:val="Collegamentoipertestuale"/>
            <w:rFonts w:ascii="Times New Roman" w:hAnsi="Times New Roman"/>
            <w:color w:val="000000" w:themeColor="text1"/>
            <w:sz w:val="20"/>
            <w:szCs w:val="20"/>
            <w:lang w:val="en-GB"/>
          </w:rPr>
          <w:t>https://doi.org/10.1111/j.1540-6261.2006.00883.x</w:t>
        </w:r>
      </w:hyperlink>
    </w:p>
    <w:p w14:paraId="7FF00375" w14:textId="77777777" w:rsidR="004F507F" w:rsidRPr="003F2292" w:rsidRDefault="004F507F" w:rsidP="003F2292">
      <w:pPr>
        <w:pStyle w:val="p1"/>
        <w:spacing w:after="16"/>
        <w:ind w:left="357" w:hanging="357"/>
        <w:contextualSpacing/>
        <w:jc w:val="both"/>
        <w:rPr>
          <w:rFonts w:ascii="Times New Roman" w:hAnsi="Times New Roman"/>
          <w:color w:val="000000" w:themeColor="text1"/>
          <w:sz w:val="20"/>
          <w:szCs w:val="20"/>
          <w:lang w:val="en-GB"/>
        </w:rPr>
      </w:pPr>
      <w:r w:rsidRPr="003F2292">
        <w:rPr>
          <w:rFonts w:ascii="Times New Roman" w:hAnsi="Times New Roman"/>
          <w:color w:val="000000" w:themeColor="text1"/>
          <w:sz w:val="20"/>
          <w:szCs w:val="20"/>
          <w:lang w:val="en-GB"/>
        </w:rPr>
        <w:t xml:space="preserve">Chevalier, C. (2003). The stakes in the over 50s market for financial institutions in France. </w:t>
      </w:r>
      <w:r w:rsidRPr="003F2292">
        <w:rPr>
          <w:rFonts w:ascii="Times New Roman" w:hAnsi="Times New Roman"/>
          <w:i/>
          <w:color w:val="000000" w:themeColor="text1"/>
          <w:sz w:val="20"/>
          <w:szCs w:val="20"/>
          <w:lang w:val="en-GB"/>
        </w:rPr>
        <w:t>Journal of Financial Services Marketing</w:t>
      </w:r>
      <w:r w:rsidRPr="003F2292">
        <w:rPr>
          <w:rFonts w:ascii="Times New Roman" w:hAnsi="Times New Roman"/>
          <w:color w:val="000000" w:themeColor="text1"/>
          <w:sz w:val="20"/>
          <w:szCs w:val="20"/>
          <w:lang w:val="en-GB"/>
        </w:rPr>
        <w:t>, Vol. 8(2) 145–151.</w:t>
      </w:r>
    </w:p>
    <w:p w14:paraId="35C1A973" w14:textId="77777777" w:rsidR="004F507F" w:rsidRPr="003F2292" w:rsidRDefault="004F507F" w:rsidP="003F2292">
      <w:pPr>
        <w:pStyle w:val="p1"/>
        <w:spacing w:after="16"/>
        <w:ind w:left="357" w:hanging="357"/>
        <w:contextualSpacing/>
        <w:jc w:val="both"/>
        <w:rPr>
          <w:rFonts w:ascii="Times New Roman" w:hAnsi="Times New Roman"/>
          <w:color w:val="000000" w:themeColor="text1"/>
          <w:sz w:val="20"/>
          <w:szCs w:val="20"/>
          <w:lang w:val="en-GB"/>
        </w:rPr>
      </w:pPr>
      <w:r w:rsidRPr="003F2292">
        <w:rPr>
          <w:rFonts w:ascii="Times New Roman" w:hAnsi="Times New Roman"/>
          <w:color w:val="000000" w:themeColor="text1"/>
          <w:sz w:val="20"/>
          <w:szCs w:val="20"/>
          <w:lang w:val="en-GB"/>
        </w:rPr>
        <w:t xml:space="preserve">Chevalier, J. A. (1995). Capital Structure and Product-Market Competition: Empirical Evidence from the Supermarket Industry. </w:t>
      </w:r>
      <w:r w:rsidRPr="003F2292">
        <w:rPr>
          <w:rFonts w:ascii="Times New Roman" w:hAnsi="Times New Roman"/>
          <w:i/>
          <w:iCs/>
          <w:color w:val="000000" w:themeColor="text1"/>
          <w:sz w:val="20"/>
          <w:szCs w:val="20"/>
          <w:lang w:val="en-GB"/>
        </w:rPr>
        <w:t>American Economic Review</w:t>
      </w:r>
      <w:r w:rsidRPr="003F2292">
        <w:rPr>
          <w:rFonts w:ascii="Times New Roman" w:hAnsi="Times New Roman"/>
          <w:color w:val="000000" w:themeColor="text1"/>
          <w:sz w:val="20"/>
          <w:szCs w:val="20"/>
          <w:lang w:val="en-GB"/>
        </w:rPr>
        <w:t>, 85(3), 415-435.</w:t>
      </w:r>
    </w:p>
    <w:p w14:paraId="618E63B0" w14:textId="77777777" w:rsidR="004F507F" w:rsidRPr="003F2292" w:rsidRDefault="004F507F" w:rsidP="003F2292">
      <w:pPr>
        <w:pStyle w:val="p1"/>
        <w:spacing w:after="16"/>
        <w:ind w:left="357" w:hanging="357"/>
        <w:contextualSpacing/>
        <w:jc w:val="both"/>
        <w:rPr>
          <w:rFonts w:ascii="Times New Roman" w:hAnsi="Times New Roman"/>
          <w:color w:val="000000" w:themeColor="text1"/>
          <w:sz w:val="20"/>
          <w:szCs w:val="20"/>
          <w:lang w:val="en-GB"/>
        </w:rPr>
      </w:pPr>
      <w:r w:rsidRPr="003F2292">
        <w:rPr>
          <w:rFonts w:ascii="Times New Roman" w:hAnsi="Times New Roman"/>
          <w:color w:val="000000" w:themeColor="text1"/>
          <w:sz w:val="20"/>
          <w:szCs w:val="20"/>
          <w:lang w:val="en-GB"/>
        </w:rPr>
        <w:t xml:space="preserve">Coughlin, J. F., &amp; D’Ambrosio, L. A. (2009). Seven Myths of Financial Planning and Baby Boomer Retirement. </w:t>
      </w:r>
      <w:r w:rsidRPr="003F2292">
        <w:rPr>
          <w:rFonts w:ascii="Times New Roman" w:hAnsi="Times New Roman"/>
          <w:i/>
          <w:iCs/>
          <w:color w:val="000000" w:themeColor="text1"/>
          <w:sz w:val="20"/>
          <w:szCs w:val="20"/>
          <w:lang w:val="en-GB"/>
        </w:rPr>
        <w:t>Journal of Financial Services Marketing</w:t>
      </w:r>
      <w:r w:rsidRPr="003F2292">
        <w:rPr>
          <w:rFonts w:ascii="Times New Roman" w:hAnsi="Times New Roman"/>
          <w:color w:val="000000" w:themeColor="text1"/>
          <w:sz w:val="20"/>
          <w:szCs w:val="20"/>
          <w:lang w:val="en-GB"/>
        </w:rPr>
        <w:t xml:space="preserve">, 14(1), 83–94. </w:t>
      </w:r>
      <w:hyperlink r:id="rId15" w:history="1">
        <w:r w:rsidRPr="003F2292">
          <w:rPr>
            <w:rStyle w:val="Collegamentoipertestuale"/>
            <w:rFonts w:ascii="Times New Roman" w:hAnsi="Times New Roman"/>
            <w:color w:val="000000" w:themeColor="text1"/>
            <w:sz w:val="20"/>
            <w:szCs w:val="20"/>
            <w:lang w:val="en-GB"/>
          </w:rPr>
          <w:t>https://doi.org/10.1057/fsm.2009.10</w:t>
        </w:r>
      </w:hyperlink>
      <w:r w:rsidRPr="003F2292">
        <w:rPr>
          <w:rFonts w:ascii="Times New Roman" w:hAnsi="Times New Roman"/>
          <w:color w:val="000000" w:themeColor="text1"/>
          <w:sz w:val="20"/>
          <w:szCs w:val="20"/>
          <w:lang w:val="en-GB"/>
        </w:rPr>
        <w:t xml:space="preserve"> </w:t>
      </w:r>
    </w:p>
    <w:p w14:paraId="2E9338A5" w14:textId="77777777" w:rsidR="004F507F" w:rsidRPr="003F2292" w:rsidRDefault="004F507F" w:rsidP="003F2292">
      <w:pPr>
        <w:pStyle w:val="p1"/>
        <w:spacing w:after="16"/>
        <w:ind w:left="357" w:hanging="357"/>
        <w:contextualSpacing/>
        <w:jc w:val="both"/>
        <w:rPr>
          <w:rFonts w:ascii="Times New Roman" w:hAnsi="Times New Roman"/>
          <w:color w:val="000000" w:themeColor="text1"/>
          <w:sz w:val="20"/>
          <w:szCs w:val="20"/>
        </w:rPr>
      </w:pPr>
      <w:r w:rsidRPr="003F2292">
        <w:rPr>
          <w:rFonts w:ascii="Times New Roman" w:hAnsi="Times New Roman"/>
          <w:color w:val="000000" w:themeColor="text1"/>
          <w:sz w:val="20"/>
          <w:szCs w:val="20"/>
          <w:lang w:val="en-GB"/>
        </w:rPr>
        <w:t xml:space="preserve">Cui, Q. (2015). Aging Population and Housing Prices: Empirical Evidence from China. </w:t>
      </w:r>
      <w:r w:rsidRPr="003F2292">
        <w:rPr>
          <w:rFonts w:ascii="Times New Roman" w:hAnsi="Times New Roman"/>
          <w:i/>
          <w:iCs/>
          <w:color w:val="000000" w:themeColor="text1"/>
          <w:sz w:val="20"/>
          <w:szCs w:val="20"/>
        </w:rPr>
        <w:t>Urban Studies</w:t>
      </w:r>
      <w:r w:rsidRPr="003F2292">
        <w:rPr>
          <w:rFonts w:ascii="Times New Roman" w:hAnsi="Times New Roman"/>
          <w:color w:val="000000" w:themeColor="text1"/>
          <w:sz w:val="20"/>
          <w:szCs w:val="20"/>
        </w:rPr>
        <w:t xml:space="preserve">, 52(2), 316–333. </w:t>
      </w:r>
      <w:hyperlink r:id="rId16" w:history="1">
        <w:r w:rsidRPr="003F2292">
          <w:rPr>
            <w:rStyle w:val="Collegamentoipertestuale"/>
            <w:rFonts w:ascii="Times New Roman" w:hAnsi="Times New Roman"/>
            <w:color w:val="000000" w:themeColor="text1"/>
            <w:sz w:val="20"/>
            <w:szCs w:val="20"/>
          </w:rPr>
          <w:t>https://doi.org/10.1177/0042098014529343</w:t>
        </w:r>
      </w:hyperlink>
    </w:p>
    <w:p w14:paraId="60F0E662" w14:textId="77777777" w:rsidR="004F507F" w:rsidRPr="003F2292" w:rsidRDefault="004F507F" w:rsidP="003F2292">
      <w:pPr>
        <w:pStyle w:val="p1"/>
        <w:spacing w:after="16"/>
        <w:ind w:left="357" w:hanging="357"/>
        <w:contextualSpacing/>
        <w:jc w:val="both"/>
        <w:rPr>
          <w:rFonts w:ascii="Times New Roman" w:hAnsi="Times New Roman"/>
          <w:color w:val="000000" w:themeColor="text1"/>
          <w:sz w:val="20"/>
          <w:szCs w:val="20"/>
          <w:lang w:val="en-GB"/>
        </w:rPr>
      </w:pPr>
      <w:r w:rsidRPr="003F2292">
        <w:rPr>
          <w:rFonts w:ascii="Times New Roman" w:hAnsi="Times New Roman"/>
          <w:color w:val="000000" w:themeColor="text1"/>
          <w:sz w:val="20"/>
          <w:szCs w:val="20"/>
        </w:rPr>
        <w:t xml:space="preserve">Della Corte, V., Del Gaudio, G., Sepe, F., &amp; Zamparelli, G. (2022). </w:t>
      </w:r>
      <w:r w:rsidRPr="003F2292">
        <w:rPr>
          <w:rFonts w:ascii="Times New Roman" w:hAnsi="Times New Roman"/>
          <w:color w:val="000000" w:themeColor="text1"/>
          <w:sz w:val="20"/>
          <w:szCs w:val="20"/>
          <w:lang w:val="en-GB"/>
        </w:rPr>
        <w:t xml:space="preserve">Are We Prepared to Face the Grey Tsunami? A Review on Laws for the Elders. </w:t>
      </w:r>
      <w:r w:rsidRPr="003F2292">
        <w:rPr>
          <w:rFonts w:ascii="Times New Roman" w:hAnsi="Times New Roman"/>
          <w:i/>
          <w:iCs/>
          <w:color w:val="000000" w:themeColor="text1"/>
          <w:sz w:val="20"/>
          <w:szCs w:val="20"/>
          <w:lang w:val="en-GB"/>
        </w:rPr>
        <w:t>Malaysian Journal of Syariah and Law</w:t>
      </w:r>
      <w:r w:rsidRPr="003F2292">
        <w:rPr>
          <w:rFonts w:ascii="Times New Roman" w:hAnsi="Times New Roman"/>
          <w:color w:val="000000" w:themeColor="text1"/>
          <w:sz w:val="20"/>
          <w:szCs w:val="20"/>
          <w:lang w:val="en-GB"/>
        </w:rPr>
        <w:t>, 10(2), 1–14.</w:t>
      </w:r>
    </w:p>
    <w:p w14:paraId="14C332A4" w14:textId="77777777" w:rsidR="004F507F" w:rsidRPr="003F2292" w:rsidRDefault="004F507F" w:rsidP="003F2292">
      <w:pPr>
        <w:pStyle w:val="p1"/>
        <w:spacing w:after="16"/>
        <w:ind w:left="357" w:hanging="357"/>
        <w:contextualSpacing/>
        <w:jc w:val="both"/>
        <w:rPr>
          <w:rFonts w:ascii="Times New Roman" w:hAnsi="Times New Roman"/>
          <w:color w:val="000000" w:themeColor="text1"/>
          <w:sz w:val="20"/>
          <w:szCs w:val="20"/>
          <w:lang w:val="en-GB"/>
        </w:rPr>
      </w:pPr>
      <w:r w:rsidRPr="003F2292">
        <w:rPr>
          <w:rFonts w:ascii="Times New Roman" w:hAnsi="Times New Roman"/>
          <w:color w:val="000000" w:themeColor="text1"/>
          <w:sz w:val="20"/>
          <w:szCs w:val="20"/>
          <w:lang w:val="en-GB"/>
        </w:rPr>
        <w:t xml:space="preserve">Deng, Y., Huang, Z., &amp; Xu, Y. (2019). Life Cycle and Housing Demand: Evidence from China. </w:t>
      </w:r>
      <w:r w:rsidRPr="003F2292">
        <w:rPr>
          <w:rFonts w:ascii="Times New Roman" w:hAnsi="Times New Roman"/>
          <w:i/>
          <w:iCs/>
          <w:color w:val="000000" w:themeColor="text1"/>
          <w:sz w:val="20"/>
          <w:szCs w:val="20"/>
          <w:lang w:val="en-GB"/>
        </w:rPr>
        <w:t>China Economic Review</w:t>
      </w:r>
      <w:r w:rsidRPr="003F2292">
        <w:rPr>
          <w:rFonts w:ascii="Times New Roman" w:hAnsi="Times New Roman"/>
          <w:color w:val="000000" w:themeColor="text1"/>
          <w:sz w:val="20"/>
          <w:szCs w:val="20"/>
          <w:lang w:val="en-GB"/>
        </w:rPr>
        <w:t xml:space="preserve">, 55, 96–108. </w:t>
      </w:r>
      <w:hyperlink r:id="rId17" w:history="1">
        <w:r w:rsidRPr="003F2292">
          <w:rPr>
            <w:rFonts w:ascii="Times New Roman" w:hAnsi="Times New Roman"/>
            <w:color w:val="000000" w:themeColor="text1"/>
            <w:sz w:val="20"/>
            <w:szCs w:val="20"/>
            <w:lang w:val="en-GB"/>
          </w:rPr>
          <w:t>https://doi.org/10.1016/j.chieco.2019.04.007</w:t>
        </w:r>
      </w:hyperlink>
    </w:p>
    <w:p w14:paraId="1F7A8CC8" w14:textId="77777777" w:rsidR="004F507F" w:rsidRPr="003F2292" w:rsidRDefault="004F507F" w:rsidP="003F2292">
      <w:pPr>
        <w:pStyle w:val="p1"/>
        <w:spacing w:after="16"/>
        <w:ind w:left="357" w:hanging="357"/>
        <w:contextualSpacing/>
        <w:jc w:val="both"/>
        <w:rPr>
          <w:rFonts w:ascii="Times New Roman" w:hAnsi="Times New Roman"/>
          <w:color w:val="000000" w:themeColor="text1"/>
          <w:sz w:val="20"/>
          <w:szCs w:val="20"/>
          <w:lang w:val="en-GB"/>
        </w:rPr>
      </w:pPr>
      <w:r w:rsidRPr="003F2292">
        <w:rPr>
          <w:rFonts w:ascii="Times New Roman" w:hAnsi="Times New Roman"/>
          <w:color w:val="000000" w:themeColor="text1"/>
          <w:sz w:val="20"/>
          <w:szCs w:val="20"/>
          <w:lang w:val="en-GB"/>
        </w:rPr>
        <w:t xml:space="preserve">Diao, C. T., &amp; Zeng, M. N. (2020). The relationship between elderly’s online self-efficacy and online fraud response. </w:t>
      </w:r>
      <w:r w:rsidRPr="003F2292">
        <w:rPr>
          <w:rFonts w:ascii="Times New Roman" w:hAnsi="Times New Roman"/>
          <w:i/>
          <w:iCs/>
          <w:color w:val="000000" w:themeColor="text1"/>
          <w:sz w:val="20"/>
          <w:szCs w:val="20"/>
          <w:lang w:val="en-GB"/>
        </w:rPr>
        <w:t>Journal of Chinese Gerontology</w:t>
      </w:r>
      <w:r w:rsidRPr="003F2292">
        <w:rPr>
          <w:rFonts w:ascii="Times New Roman" w:hAnsi="Times New Roman"/>
          <w:color w:val="000000" w:themeColor="text1"/>
          <w:sz w:val="20"/>
          <w:szCs w:val="20"/>
          <w:lang w:val="en-GB"/>
        </w:rPr>
        <w:t xml:space="preserve">, 2204–2206. </w:t>
      </w:r>
      <w:hyperlink r:id="rId18" w:history="1">
        <w:r w:rsidRPr="003F2292">
          <w:rPr>
            <w:rStyle w:val="Collegamentoipertestuale"/>
            <w:rFonts w:ascii="Times New Roman" w:hAnsi="Times New Roman"/>
            <w:color w:val="000000" w:themeColor="text1"/>
            <w:sz w:val="20"/>
            <w:szCs w:val="20"/>
            <w:lang w:val="en-GB"/>
          </w:rPr>
          <w:t>https://doi.org/10.3969/j.issn.1005-9202.2020.10.054</w:t>
        </w:r>
      </w:hyperlink>
      <w:r w:rsidRPr="003F2292">
        <w:rPr>
          <w:rFonts w:ascii="Times New Roman" w:hAnsi="Times New Roman"/>
          <w:color w:val="000000" w:themeColor="text1"/>
          <w:sz w:val="20"/>
          <w:szCs w:val="20"/>
          <w:lang w:val="en-GB"/>
        </w:rPr>
        <w:t xml:space="preserve"> </w:t>
      </w:r>
    </w:p>
    <w:p w14:paraId="3B7787E8" w14:textId="77777777" w:rsidR="004F507F" w:rsidRPr="003F2292" w:rsidRDefault="004F507F" w:rsidP="003F2292">
      <w:pPr>
        <w:pStyle w:val="p1"/>
        <w:spacing w:after="16"/>
        <w:ind w:left="357" w:hanging="357"/>
        <w:contextualSpacing/>
        <w:jc w:val="both"/>
        <w:rPr>
          <w:rFonts w:ascii="Times New Roman" w:hAnsi="Times New Roman"/>
          <w:color w:val="000000" w:themeColor="text1"/>
          <w:sz w:val="20"/>
          <w:szCs w:val="20"/>
          <w:lang w:val="en-GB"/>
        </w:rPr>
      </w:pPr>
      <w:r w:rsidRPr="003F2292">
        <w:rPr>
          <w:rFonts w:ascii="Times New Roman" w:hAnsi="Times New Roman"/>
          <w:color w:val="000000" w:themeColor="text1"/>
          <w:sz w:val="20"/>
          <w:szCs w:val="20"/>
          <w:lang w:val="en-GB"/>
        </w:rPr>
        <w:t xml:space="preserve">Doerr, S., Kabas, G., &amp; </w:t>
      </w:r>
      <w:proofErr w:type="spellStart"/>
      <w:r w:rsidRPr="003F2292">
        <w:rPr>
          <w:rFonts w:ascii="Times New Roman" w:hAnsi="Times New Roman"/>
          <w:color w:val="000000" w:themeColor="text1"/>
          <w:sz w:val="20"/>
          <w:szCs w:val="20"/>
          <w:lang w:val="en-GB"/>
        </w:rPr>
        <w:t>Ongena</w:t>
      </w:r>
      <w:proofErr w:type="spellEnd"/>
      <w:r w:rsidRPr="003F2292">
        <w:rPr>
          <w:rFonts w:ascii="Times New Roman" w:hAnsi="Times New Roman"/>
          <w:color w:val="000000" w:themeColor="text1"/>
          <w:sz w:val="20"/>
          <w:szCs w:val="20"/>
          <w:lang w:val="en-GB"/>
        </w:rPr>
        <w:t xml:space="preserve">, S. (2021). Population Aging and Bank Risk-Taking. </w:t>
      </w:r>
      <w:r w:rsidRPr="003F2292">
        <w:rPr>
          <w:rFonts w:ascii="Times New Roman" w:hAnsi="Times New Roman"/>
          <w:i/>
          <w:iCs/>
          <w:color w:val="000000" w:themeColor="text1"/>
          <w:sz w:val="20"/>
          <w:szCs w:val="20"/>
          <w:lang w:val="en-GB"/>
        </w:rPr>
        <w:t>Swiss Finance Institute Research Paper</w:t>
      </w:r>
      <w:r w:rsidRPr="003F2292">
        <w:rPr>
          <w:rFonts w:ascii="Times New Roman" w:hAnsi="Times New Roman"/>
          <w:color w:val="000000" w:themeColor="text1"/>
          <w:sz w:val="20"/>
          <w:szCs w:val="20"/>
          <w:lang w:val="en-GB"/>
        </w:rPr>
        <w:t xml:space="preserve">, No. 21-56. </w:t>
      </w:r>
      <w:hyperlink r:id="rId19" w:history="1">
        <w:r w:rsidRPr="003F2292">
          <w:rPr>
            <w:rStyle w:val="Collegamentoipertestuale"/>
            <w:rFonts w:ascii="Times New Roman" w:hAnsi="Times New Roman"/>
            <w:color w:val="000000" w:themeColor="text1"/>
            <w:sz w:val="20"/>
            <w:szCs w:val="20"/>
            <w:lang w:val="en-GB"/>
          </w:rPr>
          <w:t>https://doi.org/10.2139/ssrn.3917685</w:t>
        </w:r>
      </w:hyperlink>
    </w:p>
    <w:p w14:paraId="73A5B269" w14:textId="77777777" w:rsidR="004F507F" w:rsidRPr="003F2292" w:rsidRDefault="004F507F" w:rsidP="003F2292">
      <w:pPr>
        <w:pStyle w:val="p1"/>
        <w:spacing w:after="16"/>
        <w:ind w:left="357" w:hanging="357"/>
        <w:contextualSpacing/>
        <w:jc w:val="both"/>
        <w:rPr>
          <w:rFonts w:ascii="Times New Roman" w:hAnsi="Times New Roman"/>
          <w:color w:val="000000" w:themeColor="text1"/>
          <w:sz w:val="20"/>
          <w:szCs w:val="20"/>
          <w:lang w:val="en-GB"/>
        </w:rPr>
      </w:pPr>
      <w:r w:rsidRPr="003F2292">
        <w:rPr>
          <w:rFonts w:ascii="Times New Roman" w:hAnsi="Times New Roman"/>
          <w:color w:val="000000" w:themeColor="text1"/>
          <w:sz w:val="20"/>
          <w:szCs w:val="20"/>
        </w:rPr>
        <w:t xml:space="preserve">Dunne, P. M., &amp; </w:t>
      </w:r>
      <w:proofErr w:type="spellStart"/>
      <w:r w:rsidRPr="003F2292">
        <w:rPr>
          <w:rFonts w:ascii="Times New Roman" w:hAnsi="Times New Roman"/>
          <w:color w:val="000000" w:themeColor="text1"/>
          <w:sz w:val="20"/>
          <w:szCs w:val="20"/>
        </w:rPr>
        <w:t>Turley</w:t>
      </w:r>
      <w:proofErr w:type="spellEnd"/>
      <w:r w:rsidRPr="003F2292">
        <w:rPr>
          <w:rFonts w:ascii="Times New Roman" w:hAnsi="Times New Roman"/>
          <w:color w:val="000000" w:themeColor="text1"/>
          <w:sz w:val="20"/>
          <w:szCs w:val="20"/>
        </w:rPr>
        <w:t xml:space="preserve">, D. (1997). </w:t>
      </w:r>
      <w:r w:rsidRPr="003F2292">
        <w:rPr>
          <w:rFonts w:ascii="Times New Roman" w:hAnsi="Times New Roman"/>
          <w:color w:val="000000" w:themeColor="text1"/>
          <w:sz w:val="20"/>
          <w:szCs w:val="20"/>
          <w:lang w:val="en-GB"/>
        </w:rPr>
        <w:t xml:space="preserve">Banking for the Elderly: The Effects of Age on the Banking Habits of Older Adults. Journal of Financial Services Marketing, 2(2), 131-139. </w:t>
      </w:r>
      <w:hyperlink r:id="rId20" w:history="1">
        <w:r w:rsidRPr="003F2292">
          <w:rPr>
            <w:rFonts w:ascii="Times New Roman" w:hAnsi="Times New Roman"/>
            <w:color w:val="000000" w:themeColor="text1"/>
            <w:sz w:val="20"/>
            <w:szCs w:val="20"/>
            <w:lang w:val="en-GB"/>
          </w:rPr>
          <w:t>https://doi.org/10.1057/palgrave.fsm.4770205</w:t>
        </w:r>
      </w:hyperlink>
    </w:p>
    <w:p w14:paraId="36BA4BE6" w14:textId="77777777" w:rsidR="004F507F" w:rsidRPr="003F2292" w:rsidRDefault="004F507F" w:rsidP="003F2292">
      <w:pPr>
        <w:pStyle w:val="p1"/>
        <w:spacing w:after="16"/>
        <w:ind w:left="357" w:hanging="357"/>
        <w:contextualSpacing/>
        <w:jc w:val="both"/>
        <w:rPr>
          <w:rFonts w:ascii="Times New Roman" w:hAnsi="Times New Roman"/>
          <w:color w:val="000000" w:themeColor="text1"/>
          <w:sz w:val="20"/>
          <w:szCs w:val="20"/>
          <w:lang w:val="en-GB"/>
        </w:rPr>
      </w:pPr>
      <w:r w:rsidRPr="003F2292">
        <w:rPr>
          <w:rFonts w:ascii="Times New Roman" w:hAnsi="Times New Roman"/>
          <w:color w:val="000000" w:themeColor="text1"/>
          <w:sz w:val="20"/>
          <w:szCs w:val="20"/>
          <w:lang w:val="en-GB"/>
        </w:rPr>
        <w:t xml:space="preserve">Eurostat. (2022). Ageing Europe – Statistics on an ageing society. European Commission. Retrieved from </w:t>
      </w:r>
      <w:hyperlink r:id="rId21" w:history="1">
        <w:r w:rsidRPr="003F2292">
          <w:rPr>
            <w:rFonts w:ascii="Times New Roman" w:hAnsi="Times New Roman"/>
            <w:color w:val="000000" w:themeColor="text1"/>
            <w:sz w:val="20"/>
            <w:szCs w:val="20"/>
            <w:lang w:val="en-GB"/>
          </w:rPr>
          <w:t>https://ec.europa.eu/eurostat</w:t>
        </w:r>
      </w:hyperlink>
      <w:r w:rsidRPr="003F2292">
        <w:rPr>
          <w:rFonts w:ascii="Times New Roman" w:hAnsi="Times New Roman"/>
          <w:color w:val="000000" w:themeColor="text1"/>
          <w:sz w:val="20"/>
          <w:szCs w:val="20"/>
          <w:lang w:val="en-GB"/>
        </w:rPr>
        <w:t xml:space="preserve"> </w:t>
      </w:r>
    </w:p>
    <w:p w14:paraId="23FE83A8" w14:textId="77777777" w:rsidR="004F507F" w:rsidRPr="003F2292" w:rsidRDefault="004F507F" w:rsidP="003F2292">
      <w:pPr>
        <w:pStyle w:val="p1"/>
        <w:spacing w:after="16"/>
        <w:ind w:left="357" w:hanging="357"/>
        <w:contextualSpacing/>
        <w:jc w:val="both"/>
        <w:rPr>
          <w:rFonts w:ascii="Times New Roman" w:hAnsi="Times New Roman"/>
          <w:color w:val="000000" w:themeColor="text1"/>
          <w:sz w:val="20"/>
          <w:szCs w:val="20"/>
          <w:lang w:val="en-GB"/>
        </w:rPr>
      </w:pPr>
      <w:r w:rsidRPr="003F2292">
        <w:rPr>
          <w:rFonts w:ascii="Times New Roman" w:hAnsi="Times New Roman"/>
          <w:color w:val="000000" w:themeColor="text1"/>
          <w:sz w:val="20"/>
          <w:szCs w:val="20"/>
          <w:lang w:val="en-GB"/>
        </w:rPr>
        <w:t>Fan, E. T., &amp; Zhao, R. (2009). Health Status and Portfolio Choice: Empirical Evidence from the Survey of Consumer Finances. European Journal of Finance, 15(1), 1-19.</w:t>
      </w:r>
    </w:p>
    <w:p w14:paraId="760D9A58" w14:textId="77777777" w:rsidR="004F507F" w:rsidRPr="003F2292" w:rsidRDefault="004F507F" w:rsidP="003F2292">
      <w:pPr>
        <w:pStyle w:val="p1"/>
        <w:spacing w:after="16"/>
        <w:ind w:left="357" w:hanging="357"/>
        <w:contextualSpacing/>
        <w:jc w:val="both"/>
        <w:rPr>
          <w:rFonts w:ascii="Times New Roman" w:hAnsi="Times New Roman"/>
          <w:color w:val="000000" w:themeColor="text1"/>
          <w:sz w:val="20"/>
          <w:szCs w:val="20"/>
          <w:lang w:val="en-GB"/>
        </w:rPr>
      </w:pPr>
      <w:r w:rsidRPr="003F2292">
        <w:rPr>
          <w:rFonts w:ascii="Times New Roman" w:hAnsi="Times New Roman"/>
          <w:color w:val="000000" w:themeColor="text1"/>
          <w:sz w:val="20"/>
          <w:szCs w:val="20"/>
          <w:lang w:val="en-GB"/>
        </w:rPr>
        <w:t>Gamble, K. J., Boyle, P. A., Yu, L., &amp; Bennett, D. A. (2015). Aging and Financial Decision Making. Management Science, 61(11), 2603–2610.</w:t>
      </w:r>
    </w:p>
    <w:p w14:paraId="02E72BC4" w14:textId="77777777" w:rsidR="004F507F" w:rsidRPr="003F2292" w:rsidRDefault="004F507F" w:rsidP="003F2292">
      <w:pPr>
        <w:pStyle w:val="p1"/>
        <w:spacing w:after="16"/>
        <w:ind w:left="357" w:hanging="357"/>
        <w:contextualSpacing/>
        <w:jc w:val="both"/>
        <w:rPr>
          <w:rFonts w:ascii="Times New Roman" w:hAnsi="Times New Roman"/>
          <w:color w:val="000000" w:themeColor="text1"/>
          <w:sz w:val="20"/>
          <w:szCs w:val="20"/>
          <w:lang w:val="en-GB"/>
        </w:rPr>
      </w:pPr>
      <w:r w:rsidRPr="003F2292">
        <w:rPr>
          <w:rFonts w:ascii="Times New Roman" w:hAnsi="Times New Roman"/>
          <w:color w:val="000000" w:themeColor="text1"/>
          <w:sz w:val="20"/>
          <w:szCs w:val="20"/>
          <w:lang w:val="en-GB"/>
        </w:rPr>
        <w:t xml:space="preserve">Goldstein, D. G., Johnson, E. J., &amp; Sharpe, W. F. (2008). Choosing Outcomes Versus Choosing Products: Consumer-Focused Retirement Investment Advice. </w:t>
      </w:r>
      <w:r w:rsidRPr="003F2292">
        <w:rPr>
          <w:rFonts w:ascii="Times New Roman" w:hAnsi="Times New Roman"/>
          <w:i/>
          <w:iCs/>
          <w:color w:val="000000" w:themeColor="text1"/>
          <w:sz w:val="20"/>
          <w:szCs w:val="20"/>
          <w:lang w:val="en-GB"/>
        </w:rPr>
        <w:t>Journal of Consumer Research, 35</w:t>
      </w:r>
      <w:r w:rsidRPr="003F2292">
        <w:rPr>
          <w:rFonts w:ascii="Times New Roman" w:hAnsi="Times New Roman"/>
          <w:color w:val="000000" w:themeColor="text1"/>
          <w:sz w:val="20"/>
          <w:szCs w:val="20"/>
          <w:lang w:val="en-GB"/>
        </w:rPr>
        <w:t>(3), 440–456.</w:t>
      </w:r>
    </w:p>
    <w:p w14:paraId="7986B32D"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Grace, D., </w:t>
      </w:r>
      <w:proofErr w:type="spellStart"/>
      <w:r w:rsidRPr="003F2292">
        <w:rPr>
          <w:color w:val="000000" w:themeColor="text1"/>
          <w:sz w:val="20"/>
          <w:szCs w:val="20"/>
          <w:lang w:val="en-GB"/>
        </w:rPr>
        <w:t>Weaven</w:t>
      </w:r>
      <w:proofErr w:type="spellEnd"/>
      <w:r w:rsidRPr="003F2292">
        <w:rPr>
          <w:color w:val="000000" w:themeColor="text1"/>
          <w:sz w:val="20"/>
          <w:szCs w:val="20"/>
          <w:lang w:val="en-GB"/>
        </w:rPr>
        <w:t xml:space="preserve">, S., &amp; Anderson, S. (2010). An Examination of the Mediating Role of Financial Literacy Between Risk Tolerance and Investment Intentions. </w:t>
      </w:r>
      <w:r w:rsidRPr="003F2292">
        <w:rPr>
          <w:i/>
          <w:iCs/>
          <w:color w:val="000000" w:themeColor="text1"/>
          <w:sz w:val="20"/>
          <w:szCs w:val="20"/>
          <w:lang w:val="en-GB"/>
        </w:rPr>
        <w:t>Journal of Financial Services Marketing</w:t>
      </w:r>
      <w:r w:rsidRPr="003F2292">
        <w:rPr>
          <w:color w:val="000000" w:themeColor="text1"/>
          <w:sz w:val="20"/>
          <w:szCs w:val="20"/>
          <w:lang w:val="en-GB"/>
        </w:rPr>
        <w:t>, 15(1), 49-59.</w:t>
      </w:r>
    </w:p>
    <w:p w14:paraId="3F94AF4D"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Guiso, L., </w:t>
      </w:r>
      <w:proofErr w:type="spellStart"/>
      <w:r w:rsidRPr="003F2292">
        <w:rPr>
          <w:color w:val="000000" w:themeColor="text1"/>
          <w:sz w:val="20"/>
          <w:szCs w:val="20"/>
          <w:lang w:val="en-GB"/>
        </w:rPr>
        <w:t>Haliassos</w:t>
      </w:r>
      <w:proofErr w:type="spellEnd"/>
      <w:r w:rsidRPr="003F2292">
        <w:rPr>
          <w:color w:val="000000" w:themeColor="text1"/>
          <w:sz w:val="20"/>
          <w:szCs w:val="20"/>
          <w:lang w:val="en-GB"/>
        </w:rPr>
        <w:t xml:space="preserve">, M., &amp; </w:t>
      </w:r>
      <w:proofErr w:type="spellStart"/>
      <w:r w:rsidRPr="003F2292">
        <w:rPr>
          <w:color w:val="000000" w:themeColor="text1"/>
          <w:sz w:val="20"/>
          <w:szCs w:val="20"/>
          <w:lang w:val="en-GB"/>
        </w:rPr>
        <w:t>Jappelli</w:t>
      </w:r>
      <w:proofErr w:type="spellEnd"/>
      <w:r w:rsidRPr="003F2292">
        <w:rPr>
          <w:color w:val="000000" w:themeColor="text1"/>
          <w:sz w:val="20"/>
          <w:szCs w:val="20"/>
          <w:lang w:val="en-GB"/>
        </w:rPr>
        <w:t xml:space="preserve">, T. (2001). Household Portfolios: An International Comparison. </w:t>
      </w:r>
      <w:r w:rsidRPr="003F2292">
        <w:rPr>
          <w:i/>
          <w:iCs/>
          <w:color w:val="000000" w:themeColor="text1"/>
          <w:sz w:val="20"/>
          <w:szCs w:val="20"/>
          <w:lang w:val="en-GB"/>
        </w:rPr>
        <w:t>Economic Policy</w:t>
      </w:r>
      <w:r w:rsidRPr="003F2292">
        <w:rPr>
          <w:color w:val="000000" w:themeColor="text1"/>
          <w:sz w:val="20"/>
          <w:szCs w:val="20"/>
          <w:lang w:val="en-GB"/>
        </w:rPr>
        <w:t>, 16(32), 123-170.</w:t>
      </w:r>
    </w:p>
    <w:p w14:paraId="4615E13B"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Guiso, L., Sapienza, P., &amp; Zingales, L. (2000). The Role of Social Capital in Financial Development. </w:t>
      </w:r>
      <w:r w:rsidRPr="003F2292">
        <w:rPr>
          <w:i/>
          <w:iCs/>
          <w:color w:val="000000" w:themeColor="text1"/>
          <w:sz w:val="20"/>
          <w:szCs w:val="20"/>
          <w:lang w:val="en-GB"/>
        </w:rPr>
        <w:t>American Economic Review</w:t>
      </w:r>
      <w:r w:rsidRPr="003F2292">
        <w:rPr>
          <w:color w:val="000000" w:themeColor="text1"/>
          <w:sz w:val="20"/>
          <w:szCs w:val="20"/>
          <w:lang w:val="en-GB"/>
        </w:rPr>
        <w:t>, 94(3), 526-556.</w:t>
      </w:r>
    </w:p>
    <w:p w14:paraId="506E807B"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Han, S. D., Boyle, P. A., James, B. D., Yu, L., &amp; Bennett, D. A. (2016). Mild cognitive impairment and susceptibility to scams in old age. </w:t>
      </w:r>
      <w:r w:rsidRPr="003F2292">
        <w:rPr>
          <w:i/>
          <w:iCs/>
          <w:color w:val="000000" w:themeColor="text1"/>
          <w:sz w:val="20"/>
          <w:szCs w:val="20"/>
          <w:lang w:val="en-GB"/>
        </w:rPr>
        <w:t>Journal of Alzheimer’s Disease</w:t>
      </w:r>
      <w:r w:rsidRPr="003F2292">
        <w:rPr>
          <w:color w:val="000000" w:themeColor="text1"/>
          <w:sz w:val="20"/>
          <w:szCs w:val="20"/>
          <w:lang w:val="en-GB"/>
        </w:rPr>
        <w:t>, 49(3), 845–851. https://doi.org/10.3233/JAD-150442</w:t>
      </w:r>
    </w:p>
    <w:p w14:paraId="3A43C5AD"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Heaton, J., &amp; Lucas, D. (2000). Portfolio Choice in the Presence of Background Risk. </w:t>
      </w:r>
      <w:r w:rsidRPr="003F2292">
        <w:rPr>
          <w:i/>
          <w:iCs/>
          <w:color w:val="000000" w:themeColor="text1"/>
          <w:sz w:val="20"/>
          <w:szCs w:val="20"/>
          <w:lang w:val="en-GB"/>
        </w:rPr>
        <w:t>Economic Journal</w:t>
      </w:r>
      <w:r w:rsidRPr="003F2292">
        <w:rPr>
          <w:color w:val="000000" w:themeColor="text1"/>
          <w:sz w:val="20"/>
          <w:szCs w:val="20"/>
          <w:lang w:val="en-GB"/>
        </w:rPr>
        <w:t xml:space="preserve">, 110(460), 1-26.  </w:t>
      </w:r>
    </w:p>
    <w:p w14:paraId="55035344"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Hemmasi, M., Graf, L. A., &amp; Winchell, M. (1992). Financial Planning Characteristics of Young and Elderly Households: Some Survey Evidence. </w:t>
      </w:r>
      <w:r w:rsidRPr="003F2292">
        <w:rPr>
          <w:i/>
          <w:iCs/>
          <w:color w:val="000000" w:themeColor="text1"/>
          <w:sz w:val="20"/>
          <w:szCs w:val="20"/>
          <w:lang w:val="en-GB"/>
        </w:rPr>
        <w:t xml:space="preserve">Journal of Financial </w:t>
      </w:r>
      <w:proofErr w:type="spellStart"/>
      <w:r w:rsidRPr="003F2292">
        <w:rPr>
          <w:i/>
          <w:iCs/>
          <w:color w:val="000000" w:themeColor="text1"/>
          <w:sz w:val="20"/>
          <w:szCs w:val="20"/>
          <w:lang w:val="en-GB"/>
        </w:rPr>
        <w:t>Counseling</w:t>
      </w:r>
      <w:proofErr w:type="spellEnd"/>
      <w:r w:rsidRPr="003F2292">
        <w:rPr>
          <w:i/>
          <w:iCs/>
          <w:color w:val="000000" w:themeColor="text1"/>
          <w:sz w:val="20"/>
          <w:szCs w:val="20"/>
          <w:lang w:val="en-GB"/>
        </w:rPr>
        <w:t xml:space="preserve"> and Planning</w:t>
      </w:r>
      <w:r w:rsidRPr="003F2292">
        <w:rPr>
          <w:color w:val="000000" w:themeColor="text1"/>
          <w:sz w:val="20"/>
          <w:szCs w:val="20"/>
          <w:lang w:val="en-GB"/>
        </w:rPr>
        <w:t>, 3, 123-146.</w:t>
      </w:r>
    </w:p>
    <w:p w14:paraId="7B9E343C"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Hira, T. K. (2009). Personal Finance: Past, Present, and Future. </w:t>
      </w:r>
      <w:r w:rsidRPr="003F2292">
        <w:rPr>
          <w:i/>
          <w:iCs/>
          <w:color w:val="000000" w:themeColor="text1"/>
          <w:sz w:val="20"/>
          <w:szCs w:val="20"/>
          <w:lang w:val="en-GB"/>
        </w:rPr>
        <w:t>Networks Financial Institute Working Paper</w:t>
      </w:r>
      <w:r w:rsidRPr="003F2292">
        <w:rPr>
          <w:color w:val="000000" w:themeColor="text1"/>
          <w:sz w:val="20"/>
          <w:szCs w:val="20"/>
          <w:lang w:val="en-GB"/>
        </w:rPr>
        <w:t>, 2009-WP-14.</w:t>
      </w:r>
    </w:p>
    <w:p w14:paraId="7F46EE82"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Hogarth, J. M. (1987). Cognitive Processes and the Assessment of Risk in Elderly Consumers. </w:t>
      </w:r>
      <w:r w:rsidRPr="003F2292">
        <w:rPr>
          <w:i/>
          <w:iCs/>
          <w:color w:val="000000" w:themeColor="text1"/>
          <w:sz w:val="20"/>
          <w:szCs w:val="20"/>
          <w:lang w:val="en-GB"/>
        </w:rPr>
        <w:t>Journal of Consumer Policy</w:t>
      </w:r>
      <w:r w:rsidRPr="003F2292">
        <w:rPr>
          <w:color w:val="000000" w:themeColor="text1"/>
          <w:sz w:val="20"/>
          <w:szCs w:val="20"/>
          <w:lang w:val="en-GB"/>
        </w:rPr>
        <w:t>, 10(4), 375-387.</w:t>
      </w:r>
    </w:p>
    <w:p w14:paraId="5F38F613" w14:textId="77777777" w:rsidR="004F507F" w:rsidRPr="003F2292" w:rsidRDefault="004F507F" w:rsidP="003F2292">
      <w:pPr>
        <w:spacing w:after="16"/>
        <w:ind w:left="426" w:hanging="426"/>
        <w:contextualSpacing/>
        <w:jc w:val="both"/>
        <w:rPr>
          <w:color w:val="000000" w:themeColor="text1"/>
          <w:sz w:val="20"/>
          <w:szCs w:val="20"/>
          <w:lang w:val="en-GB"/>
        </w:rPr>
      </w:pPr>
      <w:proofErr w:type="spellStart"/>
      <w:r w:rsidRPr="003F2292">
        <w:rPr>
          <w:color w:val="000000" w:themeColor="text1"/>
          <w:sz w:val="20"/>
          <w:szCs w:val="20"/>
          <w:lang w:val="en-GB"/>
        </w:rPr>
        <w:t>Ikwue</w:t>
      </w:r>
      <w:proofErr w:type="spellEnd"/>
      <w:r w:rsidRPr="003F2292">
        <w:rPr>
          <w:color w:val="000000" w:themeColor="text1"/>
          <w:sz w:val="20"/>
          <w:szCs w:val="20"/>
          <w:lang w:val="en-GB"/>
        </w:rPr>
        <w:t xml:space="preserve">, U., </w:t>
      </w:r>
      <w:proofErr w:type="spellStart"/>
      <w:r w:rsidRPr="003F2292">
        <w:rPr>
          <w:color w:val="000000" w:themeColor="text1"/>
          <w:sz w:val="20"/>
          <w:szCs w:val="20"/>
          <w:lang w:val="en-GB"/>
        </w:rPr>
        <w:t>Uneku</w:t>
      </w:r>
      <w:proofErr w:type="spellEnd"/>
      <w:r w:rsidRPr="003F2292">
        <w:rPr>
          <w:color w:val="000000" w:themeColor="text1"/>
          <w:sz w:val="20"/>
          <w:szCs w:val="20"/>
          <w:lang w:val="en-GB"/>
        </w:rPr>
        <w:t xml:space="preserve">, A., &amp; Duru, I. (2023). </w:t>
      </w:r>
      <w:r w:rsidRPr="003F2292">
        <w:rPr>
          <w:i/>
          <w:iCs/>
          <w:color w:val="000000" w:themeColor="text1"/>
          <w:sz w:val="20"/>
          <w:szCs w:val="20"/>
          <w:lang w:val="en-GB"/>
        </w:rPr>
        <w:t>ESG Integration in Pension Fund Management: A Comparative Study of the United States and Nigeria</w:t>
      </w:r>
      <w:r w:rsidRPr="003F2292">
        <w:rPr>
          <w:color w:val="000000" w:themeColor="text1"/>
          <w:sz w:val="20"/>
          <w:szCs w:val="20"/>
          <w:lang w:val="en-GB"/>
        </w:rPr>
        <w:t>. Journal of Sustainable Finance &amp; Investment, 13(2), 174–195. https://doi.org/10.1080/20430795.2022.2131001</w:t>
      </w:r>
    </w:p>
    <w:p w14:paraId="274512B1" w14:textId="77777777" w:rsidR="004F507F" w:rsidRPr="003F2292" w:rsidRDefault="004F507F" w:rsidP="003F2292">
      <w:pPr>
        <w:spacing w:after="16"/>
        <w:ind w:left="426" w:hanging="426"/>
        <w:contextualSpacing/>
        <w:jc w:val="both"/>
        <w:rPr>
          <w:color w:val="000000" w:themeColor="text1"/>
          <w:sz w:val="20"/>
          <w:szCs w:val="20"/>
        </w:rPr>
      </w:pPr>
      <w:r w:rsidRPr="003F2292">
        <w:rPr>
          <w:color w:val="000000" w:themeColor="text1"/>
          <w:sz w:val="20"/>
          <w:szCs w:val="20"/>
          <w:lang w:val="en-GB"/>
        </w:rPr>
        <w:t xml:space="preserve">ISTAT. (2023). Annuario Statistico Italiano. </w:t>
      </w:r>
      <w:r w:rsidRPr="003F2292">
        <w:rPr>
          <w:color w:val="000000" w:themeColor="text1"/>
          <w:sz w:val="20"/>
          <w:szCs w:val="20"/>
        </w:rPr>
        <w:t xml:space="preserve">Istituto Nazionale di Statistica. </w:t>
      </w:r>
      <w:proofErr w:type="spellStart"/>
      <w:r w:rsidRPr="003F2292">
        <w:rPr>
          <w:color w:val="000000" w:themeColor="text1"/>
          <w:sz w:val="20"/>
          <w:szCs w:val="20"/>
        </w:rPr>
        <w:t>Retrieved</w:t>
      </w:r>
      <w:proofErr w:type="spellEnd"/>
      <w:r w:rsidRPr="003F2292">
        <w:rPr>
          <w:color w:val="000000" w:themeColor="text1"/>
          <w:sz w:val="20"/>
          <w:szCs w:val="20"/>
        </w:rPr>
        <w:t xml:space="preserve"> from </w:t>
      </w:r>
      <w:hyperlink r:id="rId22" w:history="1">
        <w:r w:rsidRPr="003F2292">
          <w:rPr>
            <w:color w:val="000000" w:themeColor="text1"/>
            <w:sz w:val="20"/>
            <w:szCs w:val="20"/>
          </w:rPr>
          <w:t>https://www.istat.it</w:t>
        </w:r>
      </w:hyperlink>
    </w:p>
    <w:p w14:paraId="1FEAD756" w14:textId="77777777" w:rsidR="004F507F" w:rsidRPr="003F2292" w:rsidRDefault="004F507F" w:rsidP="003F2292">
      <w:pPr>
        <w:spacing w:after="16"/>
        <w:ind w:left="426" w:hanging="426"/>
        <w:contextualSpacing/>
        <w:jc w:val="both"/>
        <w:rPr>
          <w:color w:val="000000" w:themeColor="text1"/>
          <w:sz w:val="20"/>
          <w:szCs w:val="20"/>
        </w:rPr>
      </w:pPr>
      <w:r w:rsidRPr="003F2292">
        <w:rPr>
          <w:color w:val="000000" w:themeColor="text1"/>
          <w:sz w:val="20"/>
          <w:szCs w:val="20"/>
        </w:rPr>
        <w:t xml:space="preserve">Italia Longeva. (2023). Indagine sulla fragilità nella popolazione anziana italiana. In collaborazione con la Società Italiana di Medicina Generale, Karolinska </w:t>
      </w:r>
      <w:proofErr w:type="spellStart"/>
      <w:r w:rsidRPr="003F2292">
        <w:rPr>
          <w:color w:val="000000" w:themeColor="text1"/>
          <w:sz w:val="20"/>
          <w:szCs w:val="20"/>
        </w:rPr>
        <w:t>Institutet</w:t>
      </w:r>
      <w:proofErr w:type="spellEnd"/>
      <w:r w:rsidRPr="003F2292">
        <w:rPr>
          <w:color w:val="000000" w:themeColor="text1"/>
          <w:sz w:val="20"/>
          <w:szCs w:val="20"/>
        </w:rPr>
        <w:t>, e Istituto Superiore di Sanità.</w:t>
      </w:r>
    </w:p>
    <w:p w14:paraId="0F53B937"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lastRenderedPageBreak/>
        <w:t xml:space="preserve">Javalgi, R. G., Armacost, R. L., &amp; White, D. S. (1991). Senior citizens’ perceptions of service quality in the financial services sector. </w:t>
      </w:r>
      <w:r w:rsidRPr="003F2292">
        <w:rPr>
          <w:i/>
          <w:iCs/>
          <w:color w:val="000000" w:themeColor="text1"/>
          <w:sz w:val="20"/>
          <w:szCs w:val="20"/>
          <w:lang w:val="en-GB"/>
        </w:rPr>
        <w:t>Journal of Professional Services Marketing</w:t>
      </w:r>
      <w:r w:rsidRPr="003F2292">
        <w:rPr>
          <w:color w:val="000000" w:themeColor="text1"/>
          <w:sz w:val="20"/>
          <w:szCs w:val="20"/>
          <w:lang w:val="en-GB"/>
        </w:rPr>
        <w:t>, 7(2), 55–69.</w:t>
      </w:r>
    </w:p>
    <w:p w14:paraId="19F52496"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Javalgi, R. G., Traylor, M. B., Gross, A. C., &amp; Lampman, E. (2000). Awareness of sponsorship and corporate image: An empirical investigation. </w:t>
      </w:r>
      <w:r w:rsidRPr="003F2292">
        <w:rPr>
          <w:i/>
          <w:iCs/>
          <w:color w:val="000000" w:themeColor="text1"/>
          <w:sz w:val="20"/>
          <w:szCs w:val="20"/>
          <w:lang w:val="en-GB"/>
        </w:rPr>
        <w:t>Journal of Advertising</w:t>
      </w:r>
      <w:r w:rsidRPr="003F2292">
        <w:rPr>
          <w:color w:val="000000" w:themeColor="text1"/>
          <w:sz w:val="20"/>
          <w:szCs w:val="20"/>
          <w:lang w:val="en-GB"/>
        </w:rPr>
        <w:t>, 30(4), 47–58.</w:t>
      </w:r>
    </w:p>
    <w:p w14:paraId="6C894B68"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Johnson, R. W. (2008). Retirement planning and financial literacy. </w:t>
      </w:r>
      <w:r w:rsidRPr="003F2292">
        <w:rPr>
          <w:i/>
          <w:iCs/>
          <w:color w:val="000000" w:themeColor="text1"/>
          <w:sz w:val="20"/>
          <w:szCs w:val="20"/>
          <w:lang w:val="en-GB"/>
        </w:rPr>
        <w:t>Journal of Retirement Planning</w:t>
      </w:r>
      <w:r w:rsidRPr="003F2292">
        <w:rPr>
          <w:color w:val="000000" w:themeColor="text1"/>
          <w:sz w:val="20"/>
          <w:szCs w:val="20"/>
          <w:lang w:val="en-GB"/>
        </w:rPr>
        <w:t>, 8(3), 15–26.</w:t>
      </w:r>
    </w:p>
    <w:p w14:paraId="6A1EC878"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Keynes, J. M. (1936). The General Theory of Employment, Interest, and Money. Macmillan.</w:t>
      </w:r>
    </w:p>
    <w:p w14:paraId="39FD8ED1"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Kim, H., &amp; Lyons, A. C. (2008). No Pain, No Strain: Impact of Health on the Financial Security of Older Americans. </w:t>
      </w:r>
      <w:r w:rsidRPr="003F2292">
        <w:rPr>
          <w:i/>
          <w:iCs/>
          <w:color w:val="000000" w:themeColor="text1"/>
          <w:sz w:val="20"/>
          <w:szCs w:val="20"/>
          <w:lang w:val="en-GB"/>
        </w:rPr>
        <w:t>Journal of Consumer Affairs</w:t>
      </w:r>
      <w:r w:rsidRPr="003F2292">
        <w:rPr>
          <w:color w:val="000000" w:themeColor="text1"/>
          <w:sz w:val="20"/>
          <w:szCs w:val="20"/>
          <w:lang w:val="en-GB"/>
        </w:rPr>
        <w:t xml:space="preserve">, 42(1), 9-36.  </w:t>
      </w:r>
    </w:p>
    <w:p w14:paraId="4F5CBEFE"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Lee, J. (1994). Older Adults’ Economic Status in the United States: Comparing Income, Assets, and Total Wealth. </w:t>
      </w:r>
      <w:r w:rsidRPr="003F2292">
        <w:rPr>
          <w:i/>
          <w:iCs/>
          <w:color w:val="000000" w:themeColor="text1"/>
          <w:sz w:val="20"/>
          <w:szCs w:val="20"/>
          <w:lang w:val="en-GB"/>
        </w:rPr>
        <w:t>Social Work</w:t>
      </w:r>
      <w:r w:rsidRPr="003F2292">
        <w:rPr>
          <w:color w:val="000000" w:themeColor="text1"/>
          <w:sz w:val="20"/>
          <w:szCs w:val="20"/>
          <w:lang w:val="en-GB"/>
        </w:rPr>
        <w:t>, 39(1), 35-45.</w:t>
      </w:r>
    </w:p>
    <w:p w14:paraId="3417F2A9"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Lee, K., Lee, J., &amp; Kim, H. (2019). What Affects the Financial Asset Allocation of the Elderly? From the Perspective of Financial Literacy and Risk Attitude. </w:t>
      </w:r>
      <w:r w:rsidRPr="003F2292">
        <w:rPr>
          <w:i/>
          <w:iCs/>
          <w:color w:val="000000" w:themeColor="text1"/>
          <w:sz w:val="20"/>
          <w:szCs w:val="20"/>
          <w:lang w:val="en-GB"/>
        </w:rPr>
        <w:t>Journal of Behaviour al and Experimental Finance</w:t>
      </w:r>
      <w:r w:rsidRPr="003F2292">
        <w:rPr>
          <w:color w:val="000000" w:themeColor="text1"/>
          <w:sz w:val="20"/>
          <w:szCs w:val="20"/>
          <w:lang w:val="en-GB"/>
        </w:rPr>
        <w:t>, 22, 100339.</w:t>
      </w:r>
    </w:p>
    <w:p w14:paraId="15C515D0"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rPr>
        <w:t xml:space="preserve">Li, K., Zhang, T., &amp; </w:t>
      </w:r>
      <w:proofErr w:type="spellStart"/>
      <w:r w:rsidRPr="003F2292">
        <w:rPr>
          <w:color w:val="000000" w:themeColor="text1"/>
          <w:sz w:val="20"/>
          <w:szCs w:val="20"/>
        </w:rPr>
        <w:t>Wu</w:t>
      </w:r>
      <w:proofErr w:type="spellEnd"/>
      <w:r w:rsidRPr="003F2292">
        <w:rPr>
          <w:color w:val="000000" w:themeColor="text1"/>
          <w:sz w:val="20"/>
          <w:szCs w:val="20"/>
        </w:rPr>
        <w:t xml:space="preserve">, M. (2011). </w:t>
      </w:r>
      <w:r w:rsidRPr="003F2292">
        <w:rPr>
          <w:color w:val="000000" w:themeColor="text1"/>
          <w:sz w:val="20"/>
          <w:szCs w:val="20"/>
          <w:lang w:val="en-GB"/>
        </w:rPr>
        <w:t xml:space="preserve">Demographic structure and asset returns: The U.S. evidence. </w:t>
      </w:r>
      <w:r w:rsidRPr="003F2292">
        <w:rPr>
          <w:i/>
          <w:iCs/>
          <w:color w:val="000000" w:themeColor="text1"/>
          <w:sz w:val="20"/>
          <w:szCs w:val="20"/>
          <w:lang w:val="en-GB"/>
        </w:rPr>
        <w:t>Economics Letters</w:t>
      </w:r>
      <w:r w:rsidRPr="003F2292">
        <w:rPr>
          <w:color w:val="000000" w:themeColor="text1"/>
          <w:sz w:val="20"/>
          <w:szCs w:val="20"/>
          <w:lang w:val="en-GB"/>
        </w:rPr>
        <w:t>, 112(1), 76–79.</w:t>
      </w:r>
    </w:p>
    <w:p w14:paraId="44E28CED"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Li, W., Rhee, S. G., &amp; Wang, S. S. (2017). Differences in herding: Individual vs. institutional investors. </w:t>
      </w:r>
      <w:r w:rsidRPr="003F2292">
        <w:rPr>
          <w:i/>
          <w:iCs/>
          <w:color w:val="000000" w:themeColor="text1"/>
          <w:sz w:val="20"/>
          <w:szCs w:val="20"/>
          <w:lang w:val="en-GB"/>
        </w:rPr>
        <w:t>Pacific-Basin Finance Journal</w:t>
      </w:r>
      <w:r w:rsidRPr="003F2292">
        <w:rPr>
          <w:color w:val="000000" w:themeColor="text1"/>
          <w:sz w:val="20"/>
          <w:szCs w:val="20"/>
          <w:lang w:val="en-GB"/>
        </w:rPr>
        <w:t xml:space="preserve">, 45, 174–185. </w:t>
      </w:r>
      <w:hyperlink r:id="rId23" w:history="1">
        <w:r w:rsidRPr="003F2292">
          <w:rPr>
            <w:color w:val="000000" w:themeColor="text1"/>
            <w:sz w:val="20"/>
            <w:szCs w:val="20"/>
            <w:u w:val="single"/>
            <w:lang w:val="en-GB"/>
          </w:rPr>
          <w:t>https://doi.org/10.1016/j.pacfin.2016.11.005</w:t>
        </w:r>
      </w:hyperlink>
    </w:p>
    <w:p w14:paraId="42453B10"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Li, Z., Xiong, H., &amp; Xu, X. (2022). Demographic structure and financial stability: Evidence from 32 countries. </w:t>
      </w:r>
      <w:r w:rsidRPr="003F2292">
        <w:rPr>
          <w:i/>
          <w:iCs/>
          <w:color w:val="000000" w:themeColor="text1"/>
          <w:sz w:val="20"/>
          <w:szCs w:val="20"/>
          <w:lang w:val="en-GB"/>
        </w:rPr>
        <w:t>Finance Research Letters</w:t>
      </w:r>
      <w:r w:rsidRPr="003F2292">
        <w:rPr>
          <w:color w:val="000000" w:themeColor="text1"/>
          <w:sz w:val="20"/>
          <w:szCs w:val="20"/>
          <w:lang w:val="en-GB"/>
        </w:rPr>
        <w:t>, 45, 102–107.</w:t>
      </w:r>
    </w:p>
    <w:p w14:paraId="74F79BEB"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bCs/>
          <w:color w:val="000000" w:themeColor="text1"/>
          <w:sz w:val="20"/>
          <w:szCs w:val="20"/>
          <w:lang w:val="en-GB"/>
        </w:rPr>
        <w:t>Lichtenberg, P. A., Stoltman, J., Ficker, L. J., Iris, M., &amp; Mast, B. (2015). A person-</w:t>
      </w:r>
      <w:proofErr w:type="spellStart"/>
      <w:r w:rsidRPr="003F2292">
        <w:rPr>
          <w:bCs/>
          <w:color w:val="000000" w:themeColor="text1"/>
          <w:sz w:val="20"/>
          <w:szCs w:val="20"/>
          <w:lang w:val="en-GB"/>
        </w:rPr>
        <w:t>centered</w:t>
      </w:r>
      <w:proofErr w:type="spellEnd"/>
      <w:r w:rsidRPr="003F2292">
        <w:rPr>
          <w:bCs/>
          <w:color w:val="000000" w:themeColor="text1"/>
          <w:sz w:val="20"/>
          <w:szCs w:val="20"/>
          <w:lang w:val="en-GB"/>
        </w:rPr>
        <w:t xml:space="preserve"> approach to financial capacity assessment: Preliminary development of a new rating scale. </w:t>
      </w:r>
      <w:r w:rsidRPr="003F2292">
        <w:rPr>
          <w:bCs/>
          <w:i/>
          <w:color w:val="000000" w:themeColor="text1"/>
          <w:sz w:val="20"/>
          <w:szCs w:val="20"/>
          <w:lang w:val="en-GB"/>
        </w:rPr>
        <w:t>Clinical gerontologist</w:t>
      </w:r>
      <w:r w:rsidRPr="003F2292">
        <w:rPr>
          <w:bCs/>
          <w:color w:val="000000" w:themeColor="text1"/>
          <w:sz w:val="20"/>
          <w:szCs w:val="20"/>
          <w:lang w:val="en-GB"/>
        </w:rPr>
        <w:t>, 38(1), 49-67.</w:t>
      </w:r>
    </w:p>
    <w:p w14:paraId="5A256EAC"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Lindbergh, J., et al. (2008). Older Investors and Financial Risk: Evidence from International Data. </w:t>
      </w:r>
      <w:r w:rsidRPr="003F2292">
        <w:rPr>
          <w:i/>
          <w:iCs/>
          <w:color w:val="000000" w:themeColor="text1"/>
          <w:sz w:val="20"/>
          <w:szCs w:val="20"/>
          <w:lang w:val="en-GB"/>
        </w:rPr>
        <w:t>Journal of Aging Studies</w:t>
      </w:r>
      <w:r w:rsidRPr="003F2292">
        <w:rPr>
          <w:color w:val="000000" w:themeColor="text1"/>
          <w:sz w:val="20"/>
          <w:szCs w:val="20"/>
          <w:lang w:val="en-GB"/>
        </w:rPr>
        <w:t>, 22(1), 45-53.</w:t>
      </w:r>
    </w:p>
    <w:p w14:paraId="69139054" w14:textId="77777777" w:rsidR="004F507F" w:rsidRPr="003F2292" w:rsidRDefault="004F507F" w:rsidP="003F2292">
      <w:pPr>
        <w:spacing w:after="16"/>
        <w:ind w:left="426" w:hanging="426"/>
        <w:contextualSpacing/>
        <w:jc w:val="both"/>
        <w:rPr>
          <w:rFonts w:eastAsiaTheme="minorHAnsi"/>
          <w:color w:val="000000" w:themeColor="text1"/>
          <w:sz w:val="20"/>
          <w:szCs w:val="20"/>
          <w:lang w:val="en-GB" w:eastAsia="en-US"/>
        </w:rPr>
      </w:pPr>
      <w:r w:rsidRPr="003F2292">
        <w:rPr>
          <w:rFonts w:eastAsiaTheme="minorHAnsi"/>
          <w:color w:val="000000" w:themeColor="text1"/>
          <w:sz w:val="20"/>
          <w:szCs w:val="20"/>
          <w:lang w:val="en-GB" w:eastAsia="en-US"/>
        </w:rPr>
        <w:t xml:space="preserve">Liotta, G., </w:t>
      </w:r>
      <w:proofErr w:type="spellStart"/>
      <w:r w:rsidRPr="003F2292">
        <w:rPr>
          <w:rFonts w:eastAsiaTheme="minorHAnsi"/>
          <w:color w:val="000000" w:themeColor="text1"/>
          <w:sz w:val="20"/>
          <w:szCs w:val="20"/>
          <w:lang w:val="en-GB" w:eastAsia="en-US"/>
        </w:rPr>
        <w:t>Ussai</w:t>
      </w:r>
      <w:proofErr w:type="spellEnd"/>
      <w:r w:rsidRPr="003F2292">
        <w:rPr>
          <w:rFonts w:eastAsiaTheme="minorHAnsi"/>
          <w:color w:val="000000" w:themeColor="text1"/>
          <w:sz w:val="20"/>
          <w:szCs w:val="20"/>
          <w:lang w:val="en-GB" w:eastAsia="en-US"/>
        </w:rPr>
        <w:t xml:space="preserve">, S., Illario, M., </w:t>
      </w:r>
      <w:proofErr w:type="spellStart"/>
      <w:r w:rsidRPr="003F2292">
        <w:rPr>
          <w:rFonts w:eastAsiaTheme="minorHAnsi"/>
          <w:color w:val="000000" w:themeColor="text1"/>
          <w:sz w:val="20"/>
          <w:szCs w:val="20"/>
          <w:lang w:val="en-GB" w:eastAsia="en-US"/>
        </w:rPr>
        <w:t>O’Caoimh</w:t>
      </w:r>
      <w:proofErr w:type="spellEnd"/>
      <w:r w:rsidRPr="003F2292">
        <w:rPr>
          <w:rFonts w:eastAsiaTheme="minorHAnsi"/>
          <w:color w:val="000000" w:themeColor="text1"/>
          <w:sz w:val="20"/>
          <w:szCs w:val="20"/>
          <w:lang w:val="en-GB" w:eastAsia="en-US"/>
        </w:rPr>
        <w:t>, R., Cano, A., Holland, C., Roller-</w:t>
      </w:r>
      <w:proofErr w:type="spellStart"/>
      <w:r w:rsidRPr="003F2292">
        <w:rPr>
          <w:rFonts w:eastAsiaTheme="minorHAnsi"/>
          <w:color w:val="000000" w:themeColor="text1"/>
          <w:sz w:val="20"/>
          <w:szCs w:val="20"/>
          <w:lang w:val="en-GB" w:eastAsia="en-US"/>
        </w:rPr>
        <w:t>Wirnsberger</w:t>
      </w:r>
      <w:proofErr w:type="spellEnd"/>
      <w:r w:rsidRPr="003F2292">
        <w:rPr>
          <w:rFonts w:eastAsiaTheme="minorHAnsi"/>
          <w:color w:val="000000" w:themeColor="text1"/>
          <w:sz w:val="20"/>
          <w:szCs w:val="20"/>
          <w:lang w:val="en-GB" w:eastAsia="en-US"/>
        </w:rPr>
        <w:t xml:space="preserve">, R., Capanna, A., </w:t>
      </w:r>
      <w:proofErr w:type="spellStart"/>
      <w:r w:rsidRPr="003F2292">
        <w:rPr>
          <w:rFonts w:eastAsiaTheme="minorHAnsi"/>
          <w:color w:val="000000" w:themeColor="text1"/>
          <w:sz w:val="20"/>
          <w:szCs w:val="20"/>
          <w:lang w:val="en-GB" w:eastAsia="en-US"/>
        </w:rPr>
        <w:t>Grecuccio</w:t>
      </w:r>
      <w:proofErr w:type="spellEnd"/>
      <w:r w:rsidRPr="003F2292">
        <w:rPr>
          <w:rFonts w:eastAsiaTheme="minorHAnsi"/>
          <w:color w:val="000000" w:themeColor="text1"/>
          <w:sz w:val="20"/>
          <w:szCs w:val="20"/>
          <w:lang w:val="en-GB" w:eastAsia="en-US"/>
        </w:rPr>
        <w:t xml:space="preserve">, C., Ferraro, M., &amp; Palombi, L. (2018). Frailty as the future core business of public health: Report of the activities of the A3 Action Group of the European Innovation Partnership on Active and Healthy Ageing (EIP/AHA). </w:t>
      </w:r>
      <w:r w:rsidRPr="003F2292">
        <w:rPr>
          <w:rFonts w:eastAsiaTheme="minorHAnsi"/>
          <w:i/>
          <w:iCs/>
          <w:color w:val="000000" w:themeColor="text1"/>
          <w:sz w:val="20"/>
          <w:szCs w:val="20"/>
          <w:lang w:val="en-GB" w:eastAsia="en-US"/>
        </w:rPr>
        <w:t>International Journal of Environmental Research and Public Health</w:t>
      </w:r>
      <w:r w:rsidRPr="003F2292">
        <w:rPr>
          <w:rFonts w:eastAsiaTheme="minorHAnsi"/>
          <w:color w:val="000000" w:themeColor="text1"/>
          <w:sz w:val="20"/>
          <w:szCs w:val="20"/>
          <w:lang w:val="en-GB" w:eastAsia="en-US"/>
        </w:rPr>
        <w:t xml:space="preserve">, 15(12), 2843. </w:t>
      </w:r>
      <w:hyperlink r:id="rId24" w:history="1">
        <w:r w:rsidRPr="003F2292">
          <w:rPr>
            <w:rStyle w:val="Collegamentoipertestuale"/>
            <w:color w:val="000000" w:themeColor="text1"/>
            <w:sz w:val="20"/>
            <w:szCs w:val="20"/>
            <w:lang w:val="en-GB" w:eastAsia="en-US"/>
          </w:rPr>
          <w:t>https://doi.org/10.3390/ijerph15122843</w:t>
        </w:r>
      </w:hyperlink>
      <w:r w:rsidRPr="003F2292">
        <w:rPr>
          <w:color w:val="000000" w:themeColor="text1"/>
          <w:sz w:val="20"/>
          <w:szCs w:val="20"/>
          <w:lang w:val="en-GB"/>
        </w:rPr>
        <w:t xml:space="preserve"> </w:t>
      </w:r>
    </w:p>
    <w:p w14:paraId="2E94CA2C"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Lu, L., et al. (2019). Herding Behaviour in Financial Markets: A Study of Older Adults’ Investment Decisions. </w:t>
      </w:r>
      <w:r w:rsidRPr="003F2292">
        <w:rPr>
          <w:i/>
          <w:iCs/>
          <w:color w:val="000000" w:themeColor="text1"/>
          <w:sz w:val="20"/>
          <w:szCs w:val="20"/>
          <w:lang w:val="en-GB"/>
        </w:rPr>
        <w:t>Journal of Behaviour al Finance</w:t>
      </w:r>
      <w:r w:rsidRPr="003F2292">
        <w:rPr>
          <w:color w:val="000000" w:themeColor="text1"/>
          <w:sz w:val="20"/>
          <w:szCs w:val="20"/>
          <w:lang w:val="en-GB"/>
        </w:rPr>
        <w:t>, 20(3), 292-303.</w:t>
      </w:r>
    </w:p>
    <w:p w14:paraId="1D1CC3CB"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Lusardi, A., &amp; Mitchell, O. S. (2005). Financial Literacy and Planning: Implications for Retirement Wellbeing. </w:t>
      </w:r>
      <w:r w:rsidRPr="003F2292">
        <w:rPr>
          <w:i/>
          <w:iCs/>
          <w:color w:val="000000" w:themeColor="text1"/>
          <w:sz w:val="20"/>
          <w:szCs w:val="20"/>
          <w:lang w:val="en-GB"/>
        </w:rPr>
        <w:t>Michigan Retirement Research Center Research Paper</w:t>
      </w:r>
      <w:r w:rsidRPr="003F2292">
        <w:rPr>
          <w:color w:val="000000" w:themeColor="text1"/>
          <w:sz w:val="20"/>
          <w:szCs w:val="20"/>
          <w:lang w:val="en-GB"/>
        </w:rPr>
        <w:t>, No. WP 2005-108.</w:t>
      </w:r>
    </w:p>
    <w:p w14:paraId="738FF2FF"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Lusardi, A., &amp; Mitchell, O. S. (2011). Financial Literacy Around the World: An Overview. </w:t>
      </w:r>
      <w:r w:rsidRPr="003F2292">
        <w:rPr>
          <w:i/>
          <w:iCs/>
          <w:color w:val="000000" w:themeColor="text1"/>
          <w:sz w:val="20"/>
          <w:szCs w:val="20"/>
          <w:lang w:val="en-GB"/>
        </w:rPr>
        <w:t>Journal of Pension Economics and Finance</w:t>
      </w:r>
      <w:r w:rsidRPr="003F2292">
        <w:rPr>
          <w:color w:val="000000" w:themeColor="text1"/>
          <w:sz w:val="20"/>
          <w:szCs w:val="20"/>
          <w:lang w:val="en-GB"/>
        </w:rPr>
        <w:t>, 10(4), 497–508.</w:t>
      </w:r>
    </w:p>
    <w:p w14:paraId="746A1FF0" w14:textId="77777777" w:rsidR="004F507F" w:rsidRPr="003F2292" w:rsidRDefault="004F507F" w:rsidP="003F2292">
      <w:pPr>
        <w:spacing w:after="16"/>
        <w:ind w:left="426" w:hanging="426"/>
        <w:contextualSpacing/>
        <w:jc w:val="both"/>
        <w:rPr>
          <w:color w:val="000000" w:themeColor="text1"/>
          <w:sz w:val="20"/>
          <w:szCs w:val="20"/>
          <w:lang w:val="en-GB"/>
        </w:rPr>
      </w:pPr>
      <w:proofErr w:type="spellStart"/>
      <w:r w:rsidRPr="003F2292">
        <w:rPr>
          <w:color w:val="000000" w:themeColor="text1"/>
          <w:sz w:val="20"/>
          <w:szCs w:val="20"/>
          <w:lang w:val="en-GB"/>
        </w:rPr>
        <w:t>Macunovich</w:t>
      </w:r>
      <w:proofErr w:type="spellEnd"/>
      <w:r w:rsidRPr="003F2292">
        <w:rPr>
          <w:color w:val="000000" w:themeColor="text1"/>
          <w:sz w:val="20"/>
          <w:szCs w:val="20"/>
          <w:lang w:val="en-GB"/>
        </w:rPr>
        <w:t xml:space="preserve">, D. J. (1997). Discussion: The role of demographics in past and future real returns. </w:t>
      </w:r>
      <w:r w:rsidRPr="003F2292">
        <w:rPr>
          <w:i/>
          <w:iCs/>
          <w:color w:val="000000" w:themeColor="text1"/>
          <w:sz w:val="20"/>
          <w:szCs w:val="20"/>
          <w:lang w:val="en-GB"/>
        </w:rPr>
        <w:t>Real Estate Economics</w:t>
      </w:r>
      <w:r w:rsidRPr="003F2292">
        <w:rPr>
          <w:color w:val="000000" w:themeColor="text1"/>
          <w:sz w:val="20"/>
          <w:szCs w:val="20"/>
          <w:lang w:val="en-GB"/>
        </w:rPr>
        <w:t>, 25(3), 371–385.</w:t>
      </w:r>
    </w:p>
    <w:p w14:paraId="26582B68"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Morrin, M., et al. (2008). Elderly Consumers and Financial Products: Less Knowledge but More Experience. Journal of Public Policy &amp; Marketing, 27(1), 33-48.</w:t>
      </w:r>
    </w:p>
    <w:p w14:paraId="1F85F9F1" w14:textId="77777777" w:rsidR="004F507F" w:rsidRPr="003F2292" w:rsidRDefault="004F507F" w:rsidP="003F2292">
      <w:pPr>
        <w:spacing w:after="16"/>
        <w:ind w:left="426" w:hanging="426"/>
        <w:contextualSpacing/>
        <w:jc w:val="both"/>
        <w:rPr>
          <w:bCs/>
          <w:color w:val="000000" w:themeColor="text1"/>
          <w:sz w:val="20"/>
          <w:szCs w:val="20"/>
          <w:lang w:val="en-GB"/>
        </w:rPr>
      </w:pPr>
      <w:proofErr w:type="spellStart"/>
      <w:r w:rsidRPr="003F2292">
        <w:rPr>
          <w:bCs/>
          <w:color w:val="000000" w:themeColor="text1"/>
          <w:sz w:val="20"/>
          <w:szCs w:val="20"/>
          <w:lang w:val="en-GB"/>
        </w:rPr>
        <w:t>Moschis</w:t>
      </w:r>
      <w:proofErr w:type="spellEnd"/>
      <w:r w:rsidRPr="003F2292">
        <w:rPr>
          <w:bCs/>
          <w:color w:val="000000" w:themeColor="text1"/>
          <w:sz w:val="20"/>
          <w:szCs w:val="20"/>
          <w:lang w:val="en-GB"/>
        </w:rPr>
        <w:t xml:space="preserve">, G.P., and H.V. Nguyen. 2008. Affluent mature consumers: Preference and patronisation for financial services. </w:t>
      </w:r>
      <w:r w:rsidRPr="003F2292">
        <w:rPr>
          <w:bCs/>
          <w:i/>
          <w:color w:val="000000" w:themeColor="text1"/>
          <w:sz w:val="20"/>
          <w:szCs w:val="20"/>
          <w:lang w:val="en-GB"/>
        </w:rPr>
        <w:t>Journal of Financial Services Marketing</w:t>
      </w:r>
      <w:r w:rsidRPr="003F2292">
        <w:rPr>
          <w:bCs/>
          <w:color w:val="000000" w:themeColor="text1"/>
          <w:sz w:val="20"/>
          <w:szCs w:val="20"/>
          <w:lang w:val="en-GB"/>
        </w:rPr>
        <w:t xml:space="preserve"> 13(3): 259–267.</w:t>
      </w:r>
    </w:p>
    <w:p w14:paraId="71D25F20" w14:textId="77777777" w:rsidR="004F507F" w:rsidRPr="003F2292" w:rsidRDefault="004F507F" w:rsidP="003F2292">
      <w:pPr>
        <w:spacing w:after="16"/>
        <w:ind w:left="426" w:hanging="426"/>
        <w:contextualSpacing/>
        <w:jc w:val="both"/>
        <w:rPr>
          <w:bCs/>
          <w:color w:val="000000" w:themeColor="text1"/>
          <w:sz w:val="20"/>
          <w:szCs w:val="20"/>
          <w:lang w:val="en-GB"/>
        </w:rPr>
      </w:pPr>
      <w:proofErr w:type="spellStart"/>
      <w:r w:rsidRPr="003F2292">
        <w:rPr>
          <w:bCs/>
          <w:color w:val="000000" w:themeColor="text1"/>
          <w:sz w:val="20"/>
          <w:szCs w:val="20"/>
          <w:lang w:val="en-GB"/>
        </w:rPr>
        <w:t>Moschis</w:t>
      </w:r>
      <w:proofErr w:type="spellEnd"/>
      <w:r w:rsidRPr="003F2292">
        <w:rPr>
          <w:bCs/>
          <w:color w:val="000000" w:themeColor="text1"/>
          <w:sz w:val="20"/>
          <w:szCs w:val="20"/>
          <w:lang w:val="en-GB"/>
        </w:rPr>
        <w:t xml:space="preserve">, G.P., and J.N. Burkhalter. 2007. Making ends meet: How will the elderly manage their finances and post-retirement expenses? </w:t>
      </w:r>
      <w:r w:rsidRPr="003F2292">
        <w:rPr>
          <w:bCs/>
          <w:i/>
          <w:color w:val="000000" w:themeColor="text1"/>
          <w:sz w:val="20"/>
          <w:szCs w:val="20"/>
          <w:lang w:val="en-GB"/>
        </w:rPr>
        <w:t>Journal of Financial Services Marketing</w:t>
      </w:r>
      <w:r w:rsidRPr="003F2292">
        <w:rPr>
          <w:bCs/>
          <w:color w:val="000000" w:themeColor="text1"/>
          <w:sz w:val="20"/>
          <w:szCs w:val="20"/>
          <w:lang w:val="en-GB"/>
        </w:rPr>
        <w:t xml:space="preserve"> 12(3): 235–241.</w:t>
      </w:r>
    </w:p>
    <w:p w14:paraId="2E9840E4"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bCs/>
          <w:color w:val="000000" w:themeColor="text1"/>
          <w:sz w:val="20"/>
          <w:szCs w:val="20"/>
          <w:lang w:val="en-GB"/>
        </w:rPr>
        <w:t>Mullis, R.J., and E.J. Metzen. 1986. Age and wealth: a cross/</w:t>
      </w:r>
      <w:proofErr w:type="spellStart"/>
      <w:r w:rsidRPr="003F2292">
        <w:rPr>
          <w:bCs/>
          <w:color w:val="000000" w:themeColor="text1"/>
          <w:sz w:val="20"/>
          <w:szCs w:val="20"/>
          <w:lang w:val="en-GB"/>
        </w:rPr>
        <w:t>withincohort</w:t>
      </w:r>
      <w:proofErr w:type="spellEnd"/>
      <w:r w:rsidRPr="003F2292">
        <w:rPr>
          <w:bCs/>
          <w:color w:val="000000" w:themeColor="text1"/>
          <w:sz w:val="20"/>
          <w:szCs w:val="20"/>
          <w:lang w:val="en-GB"/>
        </w:rPr>
        <w:t xml:space="preserve"> analysis. </w:t>
      </w:r>
      <w:r w:rsidRPr="003F2292">
        <w:rPr>
          <w:bCs/>
          <w:i/>
          <w:color w:val="000000" w:themeColor="text1"/>
          <w:sz w:val="20"/>
          <w:szCs w:val="20"/>
          <w:lang w:val="en-GB"/>
        </w:rPr>
        <w:t>Journal of Consumer Studies &amp; Home Economics</w:t>
      </w:r>
      <w:r w:rsidRPr="003F2292">
        <w:rPr>
          <w:bCs/>
          <w:color w:val="000000" w:themeColor="text1"/>
          <w:sz w:val="20"/>
          <w:szCs w:val="20"/>
          <w:lang w:val="en-GB"/>
        </w:rPr>
        <w:t>, 10(3): 221–234</w:t>
      </w:r>
    </w:p>
    <w:p w14:paraId="21FE44D2"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Oehler, A., &amp; Werner, C. (2008). Saving for retirement in the stock market: Evidence from Germany. </w:t>
      </w:r>
      <w:proofErr w:type="spellStart"/>
      <w:r w:rsidRPr="003F2292">
        <w:rPr>
          <w:color w:val="000000" w:themeColor="text1"/>
          <w:sz w:val="20"/>
          <w:szCs w:val="20"/>
          <w:lang w:val="en-GB"/>
        </w:rPr>
        <w:t>Zeitschrift</w:t>
      </w:r>
      <w:proofErr w:type="spellEnd"/>
      <w:r w:rsidRPr="003F2292">
        <w:rPr>
          <w:color w:val="000000" w:themeColor="text1"/>
          <w:sz w:val="20"/>
          <w:szCs w:val="20"/>
          <w:lang w:val="en-GB"/>
        </w:rPr>
        <w:t xml:space="preserve"> für </w:t>
      </w:r>
      <w:proofErr w:type="spellStart"/>
      <w:r w:rsidRPr="003F2292">
        <w:rPr>
          <w:color w:val="000000" w:themeColor="text1"/>
          <w:sz w:val="20"/>
          <w:szCs w:val="20"/>
          <w:lang w:val="en-GB"/>
        </w:rPr>
        <w:t>Betriebswirtschaft</w:t>
      </w:r>
      <w:proofErr w:type="spellEnd"/>
      <w:r w:rsidRPr="003F2292">
        <w:rPr>
          <w:color w:val="000000" w:themeColor="text1"/>
          <w:sz w:val="20"/>
          <w:szCs w:val="20"/>
          <w:lang w:val="en-GB"/>
        </w:rPr>
        <w:t xml:space="preserve">, 78(12), 1331–1355. </w:t>
      </w:r>
      <w:hyperlink r:id="rId25" w:history="1">
        <w:r w:rsidRPr="003F2292">
          <w:rPr>
            <w:rStyle w:val="Collegamentoipertestuale"/>
            <w:color w:val="000000" w:themeColor="text1"/>
            <w:sz w:val="20"/>
            <w:szCs w:val="20"/>
            <w:lang w:val="en-GB"/>
          </w:rPr>
          <w:t>https://doi.org/10.1007/s11573-008-0067-x</w:t>
        </w:r>
      </w:hyperlink>
      <w:r w:rsidRPr="003F2292">
        <w:rPr>
          <w:color w:val="000000" w:themeColor="text1"/>
          <w:sz w:val="20"/>
          <w:szCs w:val="20"/>
          <w:lang w:val="en-GB"/>
        </w:rPr>
        <w:t xml:space="preserve"> </w:t>
      </w:r>
    </w:p>
    <w:p w14:paraId="32A2E589" w14:textId="77777777" w:rsidR="004F507F" w:rsidRPr="003F2292" w:rsidRDefault="004F507F" w:rsidP="003F2292">
      <w:pPr>
        <w:spacing w:after="16"/>
        <w:ind w:left="426" w:hanging="426"/>
        <w:contextualSpacing/>
        <w:jc w:val="both"/>
        <w:rPr>
          <w:color w:val="000000" w:themeColor="text1"/>
          <w:sz w:val="20"/>
          <w:szCs w:val="20"/>
        </w:rPr>
      </w:pPr>
      <w:r w:rsidRPr="003F2292">
        <w:rPr>
          <w:color w:val="000000" w:themeColor="text1"/>
          <w:sz w:val="20"/>
          <w:szCs w:val="20"/>
          <w:lang w:val="en-GB"/>
        </w:rPr>
        <w:t xml:space="preserve">Pew Charitable Trusts. (2015). The Complex Story of American Debt. </w:t>
      </w:r>
      <w:hyperlink r:id="rId26" w:history="1">
        <w:r w:rsidRPr="003F2292">
          <w:rPr>
            <w:rStyle w:val="Collegamentoipertestuale"/>
            <w:color w:val="000000" w:themeColor="text1"/>
            <w:sz w:val="20"/>
            <w:szCs w:val="20"/>
          </w:rPr>
          <w:t>https://www.pewtrusts.org/en/research-and-analysis/reports/2015/07/the-complex-story-of-american-debt</w:t>
        </w:r>
      </w:hyperlink>
      <w:r w:rsidRPr="003F2292">
        <w:rPr>
          <w:color w:val="000000" w:themeColor="text1"/>
          <w:sz w:val="20"/>
          <w:szCs w:val="20"/>
        </w:rPr>
        <w:t xml:space="preserve"> </w:t>
      </w:r>
    </w:p>
    <w:p w14:paraId="2E4C89EB"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Philp, I., Newton, P., McKee, K., &amp; Scrivens, E. (1992). Geriatric medicine: Services for elderly people. </w:t>
      </w:r>
      <w:r w:rsidRPr="003F2292">
        <w:rPr>
          <w:i/>
          <w:iCs/>
          <w:color w:val="000000" w:themeColor="text1"/>
          <w:sz w:val="20"/>
          <w:szCs w:val="20"/>
          <w:lang w:val="en-GB"/>
        </w:rPr>
        <w:t>BMJ</w:t>
      </w:r>
      <w:r w:rsidRPr="003F2292">
        <w:rPr>
          <w:color w:val="000000" w:themeColor="text1"/>
          <w:sz w:val="20"/>
          <w:szCs w:val="20"/>
          <w:lang w:val="en-GB"/>
        </w:rPr>
        <w:t>, 305(6868), 132–135.</w:t>
      </w:r>
    </w:p>
    <w:p w14:paraId="4953CB58"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Poterba, J., Venti, S., &amp; Wise, D. (2005). Demographic trends, housing equity, and the financial security of future retirees. </w:t>
      </w:r>
      <w:r w:rsidRPr="003F2292">
        <w:rPr>
          <w:i/>
          <w:iCs/>
          <w:color w:val="000000" w:themeColor="text1"/>
          <w:sz w:val="20"/>
          <w:szCs w:val="20"/>
          <w:lang w:val="en-GB"/>
        </w:rPr>
        <w:t>NBER Working Paper No. 11255</w:t>
      </w:r>
      <w:r w:rsidRPr="003F2292">
        <w:rPr>
          <w:color w:val="000000" w:themeColor="text1"/>
          <w:sz w:val="20"/>
          <w:szCs w:val="20"/>
          <w:lang w:val="en-GB"/>
        </w:rPr>
        <w:t>.</w:t>
      </w:r>
    </w:p>
    <w:p w14:paraId="2EACDA0B"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Qiu, L., &amp; Ong, D. (2014). Gender differences in risk aversion among Chinese university students. Psychological Reports, 115(2), 437–444. </w:t>
      </w:r>
      <w:hyperlink r:id="rId27" w:history="1">
        <w:r w:rsidRPr="003F2292">
          <w:rPr>
            <w:rStyle w:val="Collegamentoipertestuale"/>
            <w:color w:val="000000" w:themeColor="text1"/>
            <w:sz w:val="20"/>
            <w:szCs w:val="20"/>
            <w:lang w:val="en-GB"/>
          </w:rPr>
          <w:t>https://pubmed.ncbi.nlm.nih.gov/25112219/</w:t>
        </w:r>
      </w:hyperlink>
      <w:r w:rsidRPr="003F2292">
        <w:rPr>
          <w:color w:val="000000" w:themeColor="text1"/>
          <w:sz w:val="20"/>
          <w:szCs w:val="20"/>
          <w:lang w:val="en-GB"/>
        </w:rPr>
        <w:t xml:space="preserve"> </w:t>
      </w:r>
    </w:p>
    <w:p w14:paraId="3835A120"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Ramsey, R. P., Marshall, G. W., Johnston, M. W., &amp; Deeter-Schmelz, D. (2007). Ethical ideologies and older consumer perceptions of unethical </w:t>
      </w:r>
      <w:proofErr w:type="spellStart"/>
      <w:r w:rsidRPr="003F2292">
        <w:rPr>
          <w:color w:val="000000" w:themeColor="text1"/>
          <w:sz w:val="20"/>
          <w:szCs w:val="20"/>
          <w:lang w:val="en-GB"/>
        </w:rPr>
        <w:t>nsales</w:t>
      </w:r>
      <w:proofErr w:type="spellEnd"/>
      <w:r w:rsidRPr="003F2292">
        <w:rPr>
          <w:color w:val="000000" w:themeColor="text1"/>
          <w:sz w:val="20"/>
          <w:szCs w:val="20"/>
          <w:lang w:val="en-GB"/>
        </w:rPr>
        <w:t xml:space="preserve"> tactics. Journal of Business Ethics, 70(2), 191–207. </w:t>
      </w:r>
      <w:hyperlink r:id="rId28" w:history="1">
        <w:r w:rsidRPr="003F2292">
          <w:rPr>
            <w:rStyle w:val="Collegamentoipertestuale"/>
            <w:color w:val="000000" w:themeColor="text1"/>
            <w:sz w:val="20"/>
            <w:szCs w:val="20"/>
            <w:lang w:val="en-GB"/>
          </w:rPr>
          <w:t>https://doi.org/10.1007/s10551-006-9105-6</w:t>
        </w:r>
      </w:hyperlink>
      <w:r w:rsidRPr="003F2292">
        <w:rPr>
          <w:color w:val="000000" w:themeColor="text1"/>
          <w:sz w:val="20"/>
          <w:szCs w:val="20"/>
          <w:lang w:val="en-GB"/>
        </w:rPr>
        <w:t xml:space="preserve">  </w:t>
      </w:r>
    </w:p>
    <w:p w14:paraId="7C732D40"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Rayan, A., &amp; Ahmad, M. (2018). Mindfulness and Parenting Distress Among Parents of Children with Disabilities: A Literature Review. </w:t>
      </w:r>
      <w:r w:rsidRPr="003F2292">
        <w:rPr>
          <w:i/>
          <w:iCs/>
          <w:color w:val="000000" w:themeColor="text1"/>
          <w:sz w:val="20"/>
          <w:szCs w:val="20"/>
          <w:lang w:val="en-GB"/>
        </w:rPr>
        <w:t>Perspectives in Psychiatric Care</w:t>
      </w:r>
      <w:r w:rsidRPr="003F2292">
        <w:rPr>
          <w:color w:val="000000" w:themeColor="text1"/>
          <w:sz w:val="20"/>
          <w:szCs w:val="20"/>
          <w:lang w:val="en-GB"/>
        </w:rPr>
        <w:t>, 54(2), 324–330.</w:t>
      </w:r>
    </w:p>
    <w:p w14:paraId="699BEE47" w14:textId="77777777" w:rsidR="004F507F" w:rsidRPr="003F2292" w:rsidRDefault="004F507F" w:rsidP="003F2292">
      <w:pPr>
        <w:spacing w:after="16"/>
        <w:ind w:left="426" w:hanging="426"/>
        <w:contextualSpacing/>
        <w:jc w:val="both"/>
        <w:rPr>
          <w:bCs/>
          <w:color w:val="000000" w:themeColor="text1"/>
          <w:sz w:val="20"/>
          <w:szCs w:val="20"/>
          <w:lang w:val="en-GB"/>
        </w:rPr>
      </w:pPr>
      <w:proofErr w:type="spellStart"/>
      <w:r w:rsidRPr="003F2292">
        <w:rPr>
          <w:bCs/>
          <w:color w:val="000000" w:themeColor="text1"/>
          <w:sz w:val="20"/>
          <w:szCs w:val="20"/>
          <w:lang w:val="en-GB"/>
        </w:rPr>
        <w:t>Rickwood</w:t>
      </w:r>
      <w:proofErr w:type="spellEnd"/>
      <w:r w:rsidRPr="003F2292">
        <w:rPr>
          <w:bCs/>
          <w:color w:val="000000" w:themeColor="text1"/>
          <w:sz w:val="20"/>
          <w:szCs w:val="20"/>
          <w:lang w:val="en-GB"/>
        </w:rPr>
        <w:t xml:space="preserve">, C., &amp; L. White. 2009. Pre-purchase decision-making for a complex service: retirement planning. </w:t>
      </w:r>
      <w:r w:rsidRPr="003F2292">
        <w:rPr>
          <w:bCs/>
          <w:i/>
          <w:color w:val="000000" w:themeColor="text1"/>
          <w:sz w:val="20"/>
          <w:szCs w:val="20"/>
          <w:lang w:val="en-GB"/>
        </w:rPr>
        <w:t>Journal of Services Marketing</w:t>
      </w:r>
      <w:r w:rsidRPr="003F2292">
        <w:rPr>
          <w:bCs/>
          <w:color w:val="000000" w:themeColor="text1"/>
          <w:sz w:val="20"/>
          <w:szCs w:val="20"/>
          <w:lang w:val="en-GB"/>
        </w:rPr>
        <w:t>, 23(3): 145–153.</w:t>
      </w:r>
    </w:p>
    <w:p w14:paraId="1E110791"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Riva, G., </w:t>
      </w:r>
      <w:proofErr w:type="spellStart"/>
      <w:r w:rsidRPr="003F2292">
        <w:rPr>
          <w:color w:val="000000" w:themeColor="text1"/>
          <w:sz w:val="20"/>
          <w:szCs w:val="20"/>
          <w:lang w:val="en-GB"/>
        </w:rPr>
        <w:t>Ajmone</w:t>
      </w:r>
      <w:proofErr w:type="spellEnd"/>
      <w:r w:rsidRPr="003F2292">
        <w:rPr>
          <w:color w:val="000000" w:themeColor="text1"/>
          <w:sz w:val="20"/>
          <w:szCs w:val="20"/>
          <w:lang w:val="en-GB"/>
        </w:rPr>
        <w:t xml:space="preserve"> Marsan, P., &amp; Grassi, C. (2014). Active Ageing and Healthy Living: A Human </w:t>
      </w:r>
      <w:proofErr w:type="spellStart"/>
      <w:r w:rsidRPr="003F2292">
        <w:rPr>
          <w:color w:val="000000" w:themeColor="text1"/>
          <w:sz w:val="20"/>
          <w:szCs w:val="20"/>
          <w:lang w:val="en-GB"/>
        </w:rPr>
        <w:t>Centered</w:t>
      </w:r>
      <w:proofErr w:type="spellEnd"/>
      <w:r w:rsidRPr="003F2292">
        <w:rPr>
          <w:color w:val="000000" w:themeColor="text1"/>
          <w:sz w:val="20"/>
          <w:szCs w:val="20"/>
          <w:lang w:val="en-GB"/>
        </w:rPr>
        <w:t xml:space="preserve"> Approach in Research and Innovation as a Source of Quality of Life. </w:t>
      </w:r>
      <w:r w:rsidRPr="003F2292">
        <w:rPr>
          <w:i/>
          <w:iCs/>
          <w:color w:val="000000" w:themeColor="text1"/>
          <w:sz w:val="20"/>
          <w:szCs w:val="20"/>
          <w:lang w:val="en-GB"/>
        </w:rPr>
        <w:t xml:space="preserve">Journal of Aging </w:t>
      </w:r>
      <w:r w:rsidRPr="003F2292">
        <w:rPr>
          <w:color w:val="000000" w:themeColor="text1"/>
          <w:sz w:val="20"/>
          <w:szCs w:val="20"/>
          <w:lang w:val="en-GB"/>
        </w:rPr>
        <w:t>Research, 2014, 1–3.</w:t>
      </w:r>
    </w:p>
    <w:p w14:paraId="0E5BFD20" w14:textId="77777777" w:rsidR="004F507F" w:rsidRPr="003F2292" w:rsidRDefault="004F507F" w:rsidP="003F2292">
      <w:pPr>
        <w:spacing w:after="16"/>
        <w:ind w:left="426" w:hanging="426"/>
        <w:contextualSpacing/>
        <w:jc w:val="both"/>
        <w:rPr>
          <w:bCs/>
          <w:color w:val="000000" w:themeColor="text1"/>
          <w:sz w:val="20"/>
          <w:szCs w:val="20"/>
          <w:lang w:val="en-GB"/>
        </w:rPr>
      </w:pPr>
      <w:r w:rsidRPr="003F2292">
        <w:rPr>
          <w:bCs/>
          <w:color w:val="000000" w:themeColor="text1"/>
          <w:sz w:val="20"/>
          <w:szCs w:val="20"/>
          <w:lang w:val="en-GB"/>
        </w:rPr>
        <w:lastRenderedPageBreak/>
        <w:t xml:space="preserve">Salisbury, P.A. (1986). Old money: Senior markets for financial services. </w:t>
      </w:r>
      <w:r w:rsidRPr="003F2292">
        <w:rPr>
          <w:bCs/>
          <w:i/>
          <w:color w:val="000000" w:themeColor="text1"/>
          <w:sz w:val="20"/>
          <w:szCs w:val="20"/>
          <w:lang w:val="en-GB"/>
        </w:rPr>
        <w:t>Journal of Professional Services Marketing</w:t>
      </w:r>
      <w:r w:rsidRPr="003F2292">
        <w:rPr>
          <w:bCs/>
          <w:color w:val="000000" w:themeColor="text1"/>
          <w:sz w:val="20"/>
          <w:szCs w:val="20"/>
          <w:lang w:val="en-GB"/>
        </w:rPr>
        <w:t>, 2(1–2): 75–79.</w:t>
      </w:r>
      <w:r w:rsidRPr="003F2292">
        <w:rPr>
          <w:color w:val="000000" w:themeColor="text1"/>
          <w:sz w:val="20"/>
          <w:szCs w:val="20"/>
          <w:lang w:val="en-GB"/>
        </w:rPr>
        <w:t xml:space="preserve"> </w:t>
      </w:r>
    </w:p>
    <w:p w14:paraId="7A0A77FB" w14:textId="77777777" w:rsidR="004F507F" w:rsidRPr="003F2292" w:rsidRDefault="004F507F" w:rsidP="003F2292">
      <w:pPr>
        <w:spacing w:after="16"/>
        <w:ind w:left="426" w:hanging="426"/>
        <w:contextualSpacing/>
        <w:jc w:val="both"/>
        <w:rPr>
          <w:bCs/>
          <w:color w:val="000000" w:themeColor="text1"/>
          <w:sz w:val="20"/>
          <w:szCs w:val="20"/>
          <w:lang w:val="en-GB"/>
        </w:rPr>
      </w:pPr>
      <w:r w:rsidRPr="003F2292">
        <w:rPr>
          <w:bCs/>
          <w:color w:val="000000" w:themeColor="text1"/>
          <w:sz w:val="20"/>
          <w:szCs w:val="20"/>
          <w:lang w:val="en-GB"/>
        </w:rPr>
        <w:t xml:space="preserve">Schaub, M. (2003). Stock market timing effects on individual retirement plans: All holding period returns are not ‘average’. </w:t>
      </w:r>
      <w:r w:rsidRPr="003F2292">
        <w:rPr>
          <w:bCs/>
          <w:i/>
          <w:color w:val="000000" w:themeColor="text1"/>
          <w:sz w:val="20"/>
          <w:szCs w:val="20"/>
          <w:lang w:val="en-GB"/>
        </w:rPr>
        <w:t>Journal of Financial Services Marketing</w:t>
      </w:r>
      <w:r w:rsidRPr="003F2292">
        <w:rPr>
          <w:bCs/>
          <w:color w:val="000000" w:themeColor="text1"/>
          <w:sz w:val="20"/>
          <w:szCs w:val="20"/>
          <w:lang w:val="en-GB"/>
        </w:rPr>
        <w:t>, 7(3): 267–274.</w:t>
      </w:r>
    </w:p>
    <w:p w14:paraId="7EA9E3B2" w14:textId="77777777" w:rsidR="004F507F" w:rsidRPr="003F2292" w:rsidRDefault="004F507F" w:rsidP="003F2292">
      <w:pPr>
        <w:spacing w:after="16"/>
        <w:ind w:left="426" w:hanging="426"/>
        <w:contextualSpacing/>
        <w:jc w:val="both"/>
        <w:rPr>
          <w:bCs/>
          <w:color w:val="000000" w:themeColor="text1"/>
          <w:sz w:val="20"/>
          <w:szCs w:val="20"/>
          <w:lang w:val="en-GB"/>
        </w:rPr>
      </w:pPr>
      <w:r w:rsidRPr="003F2292">
        <w:rPr>
          <w:bCs/>
          <w:color w:val="000000" w:themeColor="text1"/>
          <w:sz w:val="20"/>
          <w:szCs w:val="20"/>
          <w:lang w:val="en-GB"/>
        </w:rPr>
        <w:t xml:space="preserve">Sharpe, D.L., J.X. Fan, and G.S. Hong (2001). Household out-of-pocket health care expenditure trends: 1980–95. </w:t>
      </w:r>
      <w:r w:rsidRPr="003F2292">
        <w:rPr>
          <w:bCs/>
          <w:i/>
          <w:color w:val="000000" w:themeColor="text1"/>
          <w:sz w:val="20"/>
          <w:szCs w:val="20"/>
          <w:lang w:val="en-GB"/>
        </w:rPr>
        <w:t>International Journal of Consumer Studies</w:t>
      </w:r>
      <w:r w:rsidRPr="003F2292">
        <w:rPr>
          <w:bCs/>
          <w:color w:val="000000" w:themeColor="text1"/>
          <w:sz w:val="20"/>
          <w:szCs w:val="20"/>
          <w:lang w:val="en-GB"/>
        </w:rPr>
        <w:t>, 25(2): 114–122.</w:t>
      </w:r>
    </w:p>
    <w:p w14:paraId="56912C1C"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bCs/>
          <w:color w:val="000000" w:themeColor="text1"/>
          <w:sz w:val="20"/>
          <w:szCs w:val="20"/>
          <w:lang w:val="en-GB"/>
        </w:rPr>
        <w:t xml:space="preserve">Spyrou, S. (2013). Herding in financial markets: a review of the literature. </w:t>
      </w:r>
      <w:r w:rsidRPr="003F2292">
        <w:rPr>
          <w:bCs/>
          <w:i/>
          <w:color w:val="000000" w:themeColor="text1"/>
          <w:sz w:val="20"/>
          <w:szCs w:val="20"/>
          <w:lang w:val="en-GB"/>
        </w:rPr>
        <w:t xml:space="preserve">Review of </w:t>
      </w:r>
      <w:proofErr w:type="spellStart"/>
      <w:r w:rsidRPr="003F2292">
        <w:rPr>
          <w:bCs/>
          <w:i/>
          <w:color w:val="000000" w:themeColor="text1"/>
          <w:sz w:val="20"/>
          <w:szCs w:val="20"/>
          <w:lang w:val="en-GB"/>
        </w:rPr>
        <w:t>Behavioral</w:t>
      </w:r>
      <w:proofErr w:type="spellEnd"/>
      <w:r w:rsidRPr="003F2292">
        <w:rPr>
          <w:bCs/>
          <w:i/>
          <w:color w:val="000000" w:themeColor="text1"/>
          <w:sz w:val="20"/>
          <w:szCs w:val="20"/>
          <w:lang w:val="en-GB"/>
        </w:rPr>
        <w:t xml:space="preserve"> Finance</w:t>
      </w:r>
      <w:r w:rsidRPr="003F2292">
        <w:rPr>
          <w:bCs/>
          <w:color w:val="000000" w:themeColor="text1"/>
          <w:sz w:val="20"/>
          <w:szCs w:val="20"/>
          <w:lang w:val="en-GB"/>
        </w:rPr>
        <w:t>, 5(2), 175-194.</w:t>
      </w:r>
    </w:p>
    <w:p w14:paraId="1A55FF2C"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Tang, Y., Xiong, J., Becerril-Arreola, R., &amp; Iyer, L. (2019). Ethics of blockchain: A framework of technology, applications, impacts, and research directions. Information Technology &amp; People, 33(2), 602–632. </w:t>
      </w:r>
      <w:hyperlink r:id="rId29" w:history="1">
        <w:r w:rsidRPr="003F2292">
          <w:rPr>
            <w:rStyle w:val="Collegamentoipertestuale"/>
            <w:color w:val="000000" w:themeColor="text1"/>
            <w:sz w:val="20"/>
            <w:szCs w:val="20"/>
            <w:lang w:val="en-GB"/>
          </w:rPr>
          <w:t>http://dx.doi.org/10.1108/ITP-10-2018-0491</w:t>
        </w:r>
      </w:hyperlink>
      <w:r w:rsidRPr="003F2292">
        <w:rPr>
          <w:color w:val="000000" w:themeColor="text1"/>
          <w:sz w:val="20"/>
          <w:szCs w:val="20"/>
          <w:lang w:val="en-GB"/>
        </w:rPr>
        <w:t xml:space="preserve"> </w:t>
      </w:r>
    </w:p>
    <w:p w14:paraId="702AFC05" w14:textId="77777777" w:rsidR="004F507F" w:rsidRPr="003F2292" w:rsidRDefault="004F507F" w:rsidP="003F2292">
      <w:pPr>
        <w:spacing w:after="16"/>
        <w:ind w:left="426" w:hanging="426"/>
        <w:contextualSpacing/>
        <w:jc w:val="both"/>
        <w:rPr>
          <w:color w:val="000000" w:themeColor="text1"/>
          <w:sz w:val="20"/>
          <w:szCs w:val="20"/>
          <w:lang w:val="en-GB"/>
        </w:rPr>
      </w:pPr>
      <w:proofErr w:type="spellStart"/>
      <w:r w:rsidRPr="003F2292">
        <w:rPr>
          <w:color w:val="000000" w:themeColor="text1"/>
          <w:sz w:val="20"/>
          <w:szCs w:val="20"/>
          <w:lang w:val="en-GB"/>
        </w:rPr>
        <w:t>Thiruchelvam</w:t>
      </w:r>
      <w:proofErr w:type="spellEnd"/>
      <w:r w:rsidRPr="003F2292">
        <w:rPr>
          <w:color w:val="000000" w:themeColor="text1"/>
          <w:sz w:val="20"/>
          <w:szCs w:val="20"/>
          <w:lang w:val="en-GB"/>
        </w:rPr>
        <w:t xml:space="preserve">, K., &amp; Tahir, M. (2021). Are We Prepared to Face the Grey Tsunami? A Review on Laws for the Elders. </w:t>
      </w:r>
      <w:r w:rsidRPr="003F2292">
        <w:rPr>
          <w:i/>
          <w:iCs/>
          <w:color w:val="000000" w:themeColor="text1"/>
          <w:sz w:val="20"/>
          <w:szCs w:val="20"/>
          <w:lang w:val="en-GB"/>
        </w:rPr>
        <w:t>Malaysian Journal of Syariah and Law</w:t>
      </w:r>
      <w:r w:rsidRPr="003F2292">
        <w:rPr>
          <w:color w:val="000000" w:themeColor="text1"/>
          <w:sz w:val="20"/>
          <w:szCs w:val="20"/>
          <w:lang w:val="en-GB"/>
        </w:rPr>
        <w:t>, 9(1), 1–14.</w:t>
      </w:r>
    </w:p>
    <w:p w14:paraId="3C133F22"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Tynan, A. C., &amp; Drayton, J. L. (1988). Market segmentation: Age and attitudinal cohorts. European Journal of Marketing, 22(7), 20–39.</w:t>
      </w:r>
    </w:p>
    <w:p w14:paraId="4969C3CF"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United Nations Department of Economic and Social Affairs (UN DESA). (2020). World Population Ageing 2020 Highlights. Retrieved from </w:t>
      </w:r>
      <w:hyperlink r:id="rId30" w:history="1">
        <w:r w:rsidRPr="003F2292">
          <w:rPr>
            <w:color w:val="000000" w:themeColor="text1"/>
            <w:sz w:val="20"/>
            <w:szCs w:val="20"/>
            <w:lang w:val="en-GB"/>
          </w:rPr>
          <w:t>https://www.un.org/development/desa/pd/</w:t>
        </w:r>
      </w:hyperlink>
    </w:p>
    <w:p w14:paraId="7989A879"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rPr>
        <w:t xml:space="preserve">Van </w:t>
      </w:r>
      <w:proofErr w:type="spellStart"/>
      <w:r w:rsidRPr="003F2292">
        <w:rPr>
          <w:color w:val="000000" w:themeColor="text1"/>
          <w:sz w:val="20"/>
          <w:szCs w:val="20"/>
        </w:rPr>
        <w:t>Rooij</w:t>
      </w:r>
      <w:proofErr w:type="spellEnd"/>
      <w:r w:rsidRPr="003F2292">
        <w:rPr>
          <w:color w:val="000000" w:themeColor="text1"/>
          <w:sz w:val="20"/>
          <w:szCs w:val="20"/>
        </w:rPr>
        <w:t xml:space="preserve">, M., Lusardi, A., &amp; Alessie, R. (2011). </w:t>
      </w:r>
      <w:r w:rsidRPr="003F2292">
        <w:rPr>
          <w:color w:val="000000" w:themeColor="text1"/>
          <w:sz w:val="20"/>
          <w:szCs w:val="20"/>
          <w:lang w:val="en-GB"/>
        </w:rPr>
        <w:t xml:space="preserve">Financial literacy and stock market participation. </w:t>
      </w:r>
      <w:r w:rsidRPr="003F2292">
        <w:rPr>
          <w:i/>
          <w:iCs/>
          <w:color w:val="000000" w:themeColor="text1"/>
          <w:sz w:val="20"/>
          <w:szCs w:val="20"/>
          <w:lang w:val="en-GB"/>
        </w:rPr>
        <w:t>Journal of Financial Economics</w:t>
      </w:r>
      <w:r w:rsidRPr="003F2292">
        <w:rPr>
          <w:color w:val="000000" w:themeColor="text1"/>
          <w:sz w:val="20"/>
          <w:szCs w:val="20"/>
          <w:lang w:val="en-GB"/>
        </w:rPr>
        <w:t>, 101(2), 449–472. https://doi.org/10.1016/j.jfineco.2011.03.00</w:t>
      </w:r>
    </w:p>
    <w:p w14:paraId="5B47EB56" w14:textId="6DE7DEC9" w:rsidR="00EA4317" w:rsidRPr="003F2292" w:rsidRDefault="00EA4317"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Whittemore, R., &amp; </w:t>
      </w:r>
      <w:proofErr w:type="spellStart"/>
      <w:r w:rsidRPr="003F2292">
        <w:rPr>
          <w:color w:val="000000" w:themeColor="text1"/>
          <w:sz w:val="20"/>
          <w:szCs w:val="20"/>
          <w:lang w:val="en-GB"/>
        </w:rPr>
        <w:t>Knafl</w:t>
      </w:r>
      <w:proofErr w:type="spellEnd"/>
      <w:r w:rsidRPr="003F2292">
        <w:rPr>
          <w:color w:val="000000" w:themeColor="text1"/>
          <w:sz w:val="20"/>
          <w:szCs w:val="20"/>
          <w:lang w:val="en-GB"/>
        </w:rPr>
        <w:t>, K. (2005). The integrative review: updated methodology. Journal of Advanced Nursing, 52(5), 546–553.</w:t>
      </w:r>
    </w:p>
    <w:p w14:paraId="311126B7"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World Health Organization (WHO). (2015). World Report on Ageing and Health. Geneva: WHO Press. Retrieved from </w:t>
      </w:r>
      <w:hyperlink r:id="rId31" w:history="1">
        <w:r w:rsidRPr="003F2292">
          <w:rPr>
            <w:color w:val="000000" w:themeColor="text1"/>
            <w:sz w:val="20"/>
            <w:szCs w:val="20"/>
            <w:lang w:val="en-GB"/>
          </w:rPr>
          <w:t>https://www.who.int/ageing/publications/world-report-2015/en/</w:t>
        </w:r>
      </w:hyperlink>
    </w:p>
    <w:p w14:paraId="7A06FE96"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Xiao, J. J., &amp; O’Neill, B. (2015). Consumer Financial Education and Financial Capability. </w:t>
      </w:r>
      <w:r w:rsidRPr="003F2292">
        <w:rPr>
          <w:i/>
          <w:iCs/>
          <w:color w:val="000000" w:themeColor="text1"/>
          <w:sz w:val="20"/>
          <w:szCs w:val="20"/>
          <w:lang w:val="en-GB"/>
        </w:rPr>
        <w:t>International Journal of Consumer Studies</w:t>
      </w:r>
      <w:r w:rsidRPr="003F2292">
        <w:rPr>
          <w:color w:val="000000" w:themeColor="text1"/>
          <w:sz w:val="20"/>
          <w:szCs w:val="20"/>
          <w:lang w:val="en-GB"/>
        </w:rPr>
        <w:t>, 40(5), 712–721.</w:t>
      </w:r>
    </w:p>
    <w:p w14:paraId="7961C4F6"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Xing, D.W. (2009). An empirical study on the asset selection structure of urban households: A survey from Yangzhou city, Jiangsu Province. </w:t>
      </w:r>
      <w:r w:rsidRPr="003F2292">
        <w:rPr>
          <w:i/>
          <w:iCs/>
          <w:color w:val="000000" w:themeColor="text1"/>
          <w:sz w:val="20"/>
          <w:szCs w:val="20"/>
          <w:lang w:val="en-GB"/>
        </w:rPr>
        <w:t>East China Economic Management</w:t>
      </w:r>
      <w:r w:rsidRPr="003F2292">
        <w:rPr>
          <w:color w:val="000000" w:themeColor="text1"/>
          <w:sz w:val="20"/>
          <w:szCs w:val="20"/>
          <w:lang w:val="en-GB"/>
        </w:rPr>
        <w:t xml:space="preserve">, 1, 15–20. </w:t>
      </w:r>
      <w:hyperlink r:id="rId32" w:history="1">
        <w:r w:rsidRPr="003F2292">
          <w:rPr>
            <w:color w:val="000000" w:themeColor="text1"/>
            <w:sz w:val="20"/>
            <w:szCs w:val="20"/>
            <w:lang w:val="en-GB"/>
          </w:rPr>
          <w:t>http://dx.doi.org/10.5430/rwe.v14n1p1</w:t>
        </w:r>
      </w:hyperlink>
      <w:r w:rsidRPr="003F2292">
        <w:rPr>
          <w:color w:val="000000" w:themeColor="text1"/>
          <w:sz w:val="20"/>
          <w:szCs w:val="20"/>
          <w:lang w:val="en-GB"/>
        </w:rPr>
        <w:t xml:space="preserve"> </w:t>
      </w:r>
    </w:p>
    <w:p w14:paraId="36CE16F7"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Xu, Y., Zhang, L., &amp; Li, H. (2019). Population Aging, Household Savings and Asset Prices: A Study Based on Urban Commercial Housing Prices. </w:t>
      </w:r>
      <w:r w:rsidRPr="003F2292">
        <w:rPr>
          <w:i/>
          <w:iCs/>
          <w:color w:val="000000" w:themeColor="text1"/>
          <w:sz w:val="20"/>
          <w:szCs w:val="20"/>
          <w:lang w:val="en-GB"/>
        </w:rPr>
        <w:t>Sustainability</w:t>
      </w:r>
      <w:r w:rsidRPr="003F2292">
        <w:rPr>
          <w:color w:val="000000" w:themeColor="text1"/>
          <w:sz w:val="20"/>
          <w:szCs w:val="20"/>
          <w:lang w:val="en-GB"/>
        </w:rPr>
        <w:t>, 11(11), 3194. https://doi.org/10.3390/su11113194</w:t>
      </w:r>
    </w:p>
    <w:p w14:paraId="1B53D67A"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Yang, X., &amp; Zhou, Y. (2004). Herding </w:t>
      </w:r>
      <w:proofErr w:type="spellStart"/>
      <w:r w:rsidRPr="003F2292">
        <w:rPr>
          <w:color w:val="000000" w:themeColor="text1"/>
          <w:sz w:val="20"/>
          <w:szCs w:val="20"/>
          <w:lang w:val="en-GB"/>
        </w:rPr>
        <w:t>Behavior</w:t>
      </w:r>
      <w:proofErr w:type="spellEnd"/>
      <w:r w:rsidRPr="003F2292">
        <w:rPr>
          <w:color w:val="000000" w:themeColor="text1"/>
          <w:sz w:val="20"/>
          <w:szCs w:val="20"/>
          <w:lang w:val="en-GB"/>
        </w:rPr>
        <w:t xml:space="preserve"> in Chinese Stock Markets: An Examination of A and B Shares. </w:t>
      </w:r>
      <w:r w:rsidRPr="003F2292">
        <w:rPr>
          <w:i/>
          <w:iCs/>
          <w:color w:val="000000" w:themeColor="text1"/>
          <w:sz w:val="20"/>
          <w:szCs w:val="20"/>
          <w:lang w:val="en-GB"/>
        </w:rPr>
        <w:t>Pacific-Basin Finance Journal</w:t>
      </w:r>
      <w:r w:rsidRPr="003F2292">
        <w:rPr>
          <w:color w:val="000000" w:themeColor="text1"/>
          <w:sz w:val="20"/>
          <w:szCs w:val="20"/>
          <w:lang w:val="en-GB"/>
        </w:rPr>
        <w:t xml:space="preserve">, 16(1–2), 61–77. </w:t>
      </w:r>
      <w:hyperlink r:id="rId33" w:history="1">
        <w:r w:rsidRPr="003F2292">
          <w:rPr>
            <w:rStyle w:val="Collegamentoipertestuale"/>
            <w:color w:val="000000" w:themeColor="text1"/>
            <w:sz w:val="20"/>
            <w:szCs w:val="20"/>
            <w:lang w:val="en-GB"/>
          </w:rPr>
          <w:t>https://doi.org/10.1016/j.pacfin.2007.04.004</w:t>
        </w:r>
      </w:hyperlink>
      <w:r w:rsidRPr="003F2292">
        <w:rPr>
          <w:color w:val="000000" w:themeColor="text1"/>
          <w:sz w:val="20"/>
          <w:szCs w:val="20"/>
          <w:lang w:val="en-GB"/>
        </w:rPr>
        <w:t xml:space="preserve"> </w:t>
      </w:r>
    </w:p>
    <w:p w14:paraId="7A57CA80"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Yao, R., &amp; Hanna, S. D. (2005). The effect of gender and marital status on financial risk tolerance. </w:t>
      </w:r>
      <w:r w:rsidRPr="003F2292">
        <w:rPr>
          <w:i/>
          <w:iCs/>
          <w:color w:val="000000" w:themeColor="text1"/>
          <w:sz w:val="20"/>
          <w:szCs w:val="20"/>
          <w:lang w:val="en-GB"/>
        </w:rPr>
        <w:t>Journal of Personal Finance</w:t>
      </w:r>
      <w:r w:rsidRPr="003F2292">
        <w:rPr>
          <w:color w:val="000000" w:themeColor="text1"/>
          <w:sz w:val="20"/>
          <w:szCs w:val="20"/>
          <w:lang w:val="en-GB"/>
        </w:rPr>
        <w:t>, 4(1), 66–85.</w:t>
      </w:r>
    </w:p>
    <w:p w14:paraId="15009BF2"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Yao, R., &amp; Lin, H. (2011). Understanding the Risk Aversion of Older Investors. </w:t>
      </w:r>
      <w:r w:rsidRPr="003F2292">
        <w:rPr>
          <w:i/>
          <w:iCs/>
          <w:color w:val="000000" w:themeColor="text1"/>
          <w:sz w:val="20"/>
          <w:szCs w:val="20"/>
          <w:lang w:val="en-GB"/>
        </w:rPr>
        <w:t>Journal of Financial Planning</w:t>
      </w:r>
      <w:r w:rsidRPr="003F2292">
        <w:rPr>
          <w:color w:val="000000" w:themeColor="text1"/>
          <w:sz w:val="20"/>
          <w:szCs w:val="20"/>
          <w:lang w:val="en-GB"/>
        </w:rPr>
        <w:t>, 24(11), 36–43.</w:t>
      </w:r>
    </w:p>
    <w:p w14:paraId="536B47BD"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Yoo, P. S. (1994). Age-Dependent Portfolio Selection. Working Paper No. 94-003A.</w:t>
      </w:r>
      <w:r w:rsidRPr="003F2292">
        <w:rPr>
          <w:i/>
          <w:iCs/>
          <w:color w:val="000000" w:themeColor="text1"/>
          <w:sz w:val="20"/>
          <w:szCs w:val="20"/>
          <w:lang w:val="en-GB"/>
        </w:rPr>
        <w:t xml:space="preserve"> Federal Reserve Bank of St. Louis</w:t>
      </w:r>
      <w:r w:rsidRPr="003F2292">
        <w:rPr>
          <w:color w:val="000000" w:themeColor="text1"/>
          <w:sz w:val="20"/>
          <w:szCs w:val="20"/>
          <w:lang w:val="en-GB"/>
        </w:rPr>
        <w:t xml:space="preserve">. </w:t>
      </w:r>
      <w:hyperlink r:id="rId34" w:history="1">
        <w:r w:rsidRPr="003F2292">
          <w:rPr>
            <w:color w:val="000000" w:themeColor="text1"/>
            <w:sz w:val="20"/>
            <w:szCs w:val="20"/>
            <w:lang w:val="en-GB"/>
          </w:rPr>
          <w:t>https://ideas.repec.org/p/fip/fedlwp/1994-003.html</w:t>
        </w:r>
      </w:hyperlink>
      <w:r w:rsidRPr="003F2292">
        <w:rPr>
          <w:color w:val="000000" w:themeColor="text1"/>
          <w:sz w:val="20"/>
          <w:szCs w:val="20"/>
          <w:lang w:val="en-GB"/>
        </w:rPr>
        <w:t xml:space="preserve"> </w:t>
      </w:r>
    </w:p>
    <w:p w14:paraId="55ABF9AC" w14:textId="77777777" w:rsidR="004F507F" w:rsidRPr="003F2292" w:rsidRDefault="004F507F" w:rsidP="003F2292">
      <w:pPr>
        <w:spacing w:after="16"/>
        <w:ind w:left="426" w:hanging="426"/>
        <w:contextualSpacing/>
        <w:jc w:val="both"/>
        <w:rPr>
          <w:color w:val="000000" w:themeColor="text1"/>
          <w:sz w:val="20"/>
          <w:szCs w:val="20"/>
          <w:lang w:val="en-GB"/>
        </w:rPr>
      </w:pPr>
      <w:r w:rsidRPr="003F2292">
        <w:rPr>
          <w:color w:val="000000" w:themeColor="text1"/>
          <w:sz w:val="20"/>
          <w:szCs w:val="20"/>
          <w:lang w:val="en-GB"/>
        </w:rPr>
        <w:t xml:space="preserve">Zhang, J. H., Brazel, J. F., Carpenter, T. D., Jones, K. L., &amp; Thayer, J. M. (2021). Nonfinancial Measures and Fraud Risk: Evaluating Investors’ Reactions to Greater Transparency. </w:t>
      </w:r>
      <w:r w:rsidRPr="003F2292">
        <w:rPr>
          <w:i/>
          <w:iCs/>
          <w:color w:val="000000" w:themeColor="text1"/>
          <w:sz w:val="20"/>
          <w:szCs w:val="20"/>
          <w:lang w:val="en-GB"/>
        </w:rPr>
        <w:t>Journal of Forensic Accounting Research</w:t>
      </w:r>
      <w:r w:rsidRPr="003F2292">
        <w:rPr>
          <w:color w:val="000000" w:themeColor="text1"/>
          <w:sz w:val="20"/>
          <w:szCs w:val="20"/>
          <w:lang w:val="en-GB"/>
        </w:rPr>
        <w:t xml:space="preserve">, 6(1), 1–32. </w:t>
      </w:r>
      <w:hyperlink r:id="rId35" w:history="1">
        <w:r w:rsidRPr="003F2292">
          <w:rPr>
            <w:rStyle w:val="Collegamentoipertestuale"/>
            <w:color w:val="000000" w:themeColor="text1"/>
            <w:sz w:val="20"/>
            <w:szCs w:val="20"/>
            <w:lang w:val="en-GB"/>
          </w:rPr>
          <w:t>https://doi.org/10.2308/JFAR-2019-505</w:t>
        </w:r>
      </w:hyperlink>
      <w:r w:rsidRPr="003F2292">
        <w:rPr>
          <w:color w:val="000000" w:themeColor="text1"/>
          <w:sz w:val="20"/>
          <w:szCs w:val="20"/>
          <w:lang w:val="en-GB"/>
        </w:rPr>
        <w:t xml:space="preserve"> </w:t>
      </w:r>
    </w:p>
    <w:p w14:paraId="55324CAB" w14:textId="77777777" w:rsidR="00EA4317" w:rsidRPr="003F2292" w:rsidRDefault="00EA4317" w:rsidP="003F2292">
      <w:pPr>
        <w:spacing w:after="16"/>
        <w:ind w:left="426" w:hanging="426"/>
        <w:contextualSpacing/>
        <w:jc w:val="both"/>
        <w:rPr>
          <w:color w:val="000000" w:themeColor="text1"/>
          <w:sz w:val="20"/>
          <w:szCs w:val="20"/>
          <w:lang w:val="en-GB"/>
        </w:rPr>
      </w:pPr>
    </w:p>
    <w:p w14:paraId="0CA4B5D0" w14:textId="3DD29B33" w:rsidR="002C3D1E" w:rsidRPr="004F507F" w:rsidRDefault="002C3D1E" w:rsidP="00901BA9">
      <w:pPr>
        <w:spacing w:line="360" w:lineRule="auto"/>
        <w:ind w:left="426" w:hanging="426"/>
        <w:contextualSpacing/>
        <w:jc w:val="both"/>
        <w:rPr>
          <w:color w:val="000000" w:themeColor="text1"/>
        </w:rPr>
      </w:pPr>
    </w:p>
    <w:sectPr w:rsidR="002C3D1E" w:rsidRPr="004F507F" w:rsidSect="006223D7">
      <w:footerReference w:type="even" r:id="rId36"/>
      <w:footerReference w:type="default" r:id="rId37"/>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ABC8E3" w14:textId="77777777" w:rsidR="00F0627B" w:rsidRDefault="00F0627B" w:rsidP="00135E77">
      <w:r>
        <w:separator/>
      </w:r>
    </w:p>
  </w:endnote>
  <w:endnote w:type="continuationSeparator" w:id="0">
    <w:p w14:paraId="1C5E5032" w14:textId="77777777" w:rsidR="00F0627B" w:rsidRDefault="00F0627B" w:rsidP="00135E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AvantGarde">
    <w:altName w:val="Century Gothic"/>
    <w:panose1 w:val="020B0604020202020204"/>
    <w:charset w:val="00"/>
    <w:family w:val="swiss"/>
    <w:notTrueType/>
    <w:pitch w:val="default"/>
    <w:sig w:usb0="00000003" w:usb1="00000000" w:usb2="00000000" w:usb3="00000000" w:csb0="00000001" w:csb1="00000000"/>
  </w:font>
  <w:font w:name="Segoe UI">
    <w:panose1 w:val="020B0604020202020204"/>
    <w:charset w:val="00"/>
    <w:family w:val="swiss"/>
    <w:pitch w:val="variable"/>
    <w:sig w:usb0="E4002EFF" w:usb1="C000E47F" w:usb2="00000009" w:usb3="00000000" w:csb0="000001FF" w:csb1="00000000"/>
  </w:font>
  <w:font w:name="Eurostile ExtendedTwo">
    <w:altName w:val="Agency FB"/>
    <w:panose1 w:val="020B0604020202020204"/>
    <w:charset w:val="00"/>
    <w:family w:val="swiss"/>
    <w:notTrueType/>
    <w:pitch w:val="default"/>
    <w:sig w:usb0="00000003" w:usb1="00000000" w:usb2="00000000" w:usb3="00000000" w:csb0="00000001" w:csb1="00000000"/>
  </w:font>
  <w:font w:name=".AppleSystemUIFont">
    <w:altName w:val="Cambria"/>
    <w:panose1 w:val="020B0604020202020204"/>
    <w:charset w:val="00"/>
    <w:family w:val="roman"/>
    <w:pitch w:val="default"/>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887380914"/>
      <w:docPartObj>
        <w:docPartGallery w:val="Page Numbers (Bottom of Page)"/>
        <w:docPartUnique/>
      </w:docPartObj>
    </w:sdtPr>
    <w:sdtContent>
      <w:p w14:paraId="3A14B210" w14:textId="5F9FE0C6" w:rsidR="00B90926" w:rsidRDefault="00B90926" w:rsidP="00190502">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533BD985" w14:textId="77777777" w:rsidR="00B90926" w:rsidRDefault="00B90926" w:rsidP="00B90926">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690649516"/>
      <w:docPartObj>
        <w:docPartGallery w:val="Page Numbers (Bottom of Page)"/>
        <w:docPartUnique/>
      </w:docPartObj>
    </w:sdtPr>
    <w:sdtContent>
      <w:p w14:paraId="1506C4CC" w14:textId="5DE900DE" w:rsidR="00B90926" w:rsidRDefault="00B90926" w:rsidP="00190502">
        <w:pPr>
          <w:pStyle w:val="Pidipagina"/>
          <w:framePr w:wrap="none" w:vAnchor="text" w:hAnchor="margin" w:xAlign="right" w:y="1"/>
          <w:rPr>
            <w:rStyle w:val="Numeropagina"/>
          </w:rPr>
        </w:pPr>
        <w:r w:rsidRPr="003F2292">
          <w:rPr>
            <w:rStyle w:val="Numeropagina"/>
            <w:sz w:val="20"/>
            <w:szCs w:val="20"/>
          </w:rPr>
          <w:fldChar w:fldCharType="begin"/>
        </w:r>
        <w:r w:rsidRPr="003F2292">
          <w:rPr>
            <w:rStyle w:val="Numeropagina"/>
            <w:sz w:val="20"/>
            <w:szCs w:val="20"/>
          </w:rPr>
          <w:instrText xml:space="preserve"> PAGE </w:instrText>
        </w:r>
        <w:r w:rsidRPr="003F2292">
          <w:rPr>
            <w:rStyle w:val="Numeropagina"/>
            <w:sz w:val="20"/>
            <w:szCs w:val="20"/>
          </w:rPr>
          <w:fldChar w:fldCharType="separate"/>
        </w:r>
        <w:r w:rsidRPr="003F2292">
          <w:rPr>
            <w:rStyle w:val="Numeropagina"/>
            <w:noProof/>
            <w:sz w:val="20"/>
            <w:szCs w:val="20"/>
          </w:rPr>
          <w:t>9</w:t>
        </w:r>
        <w:r w:rsidRPr="003F2292">
          <w:rPr>
            <w:rStyle w:val="Numeropagina"/>
            <w:sz w:val="20"/>
            <w:szCs w:val="20"/>
          </w:rPr>
          <w:fldChar w:fldCharType="end"/>
        </w:r>
      </w:p>
    </w:sdtContent>
  </w:sdt>
  <w:p w14:paraId="2917E707" w14:textId="77777777" w:rsidR="00B90926" w:rsidRDefault="00B90926" w:rsidP="00B90926">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51DE09" w14:textId="77777777" w:rsidR="00F0627B" w:rsidRDefault="00F0627B" w:rsidP="00135E77">
      <w:r>
        <w:separator/>
      </w:r>
    </w:p>
  </w:footnote>
  <w:footnote w:type="continuationSeparator" w:id="0">
    <w:p w14:paraId="644CB79F" w14:textId="77777777" w:rsidR="00F0627B" w:rsidRDefault="00F0627B" w:rsidP="00135E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12339A"/>
    <w:multiLevelType w:val="multilevel"/>
    <w:tmpl w:val="CA826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C331A03"/>
    <w:multiLevelType w:val="multilevel"/>
    <w:tmpl w:val="44DE6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E8C0DA9"/>
    <w:multiLevelType w:val="hybridMultilevel"/>
    <w:tmpl w:val="A2869C5A"/>
    <w:lvl w:ilvl="0" w:tplc="60424636">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FB43A3C"/>
    <w:multiLevelType w:val="hybridMultilevel"/>
    <w:tmpl w:val="4D008560"/>
    <w:lvl w:ilvl="0" w:tplc="248A3216">
      <w:start w:val="1"/>
      <w:numFmt w:val="decimal"/>
      <w:lvlText w:val="%1."/>
      <w:lvlJc w:val="left"/>
      <w:pPr>
        <w:ind w:left="720" w:hanging="360"/>
      </w:pPr>
    </w:lvl>
    <w:lvl w:ilvl="1" w:tplc="F8D80DB0">
      <w:start w:val="1"/>
      <w:numFmt w:val="lowerLetter"/>
      <w:lvlText w:val="%2."/>
      <w:lvlJc w:val="left"/>
      <w:pPr>
        <w:ind w:left="1440" w:hanging="360"/>
      </w:pPr>
    </w:lvl>
    <w:lvl w:ilvl="2" w:tplc="88964652">
      <w:start w:val="1"/>
      <w:numFmt w:val="lowerRoman"/>
      <w:lvlText w:val="%3."/>
      <w:lvlJc w:val="right"/>
      <w:pPr>
        <w:ind w:left="2160" w:hanging="180"/>
      </w:pPr>
    </w:lvl>
    <w:lvl w:ilvl="3" w:tplc="33244320">
      <w:start w:val="1"/>
      <w:numFmt w:val="decimal"/>
      <w:lvlText w:val="%4."/>
      <w:lvlJc w:val="left"/>
      <w:pPr>
        <w:ind w:left="2880" w:hanging="360"/>
      </w:pPr>
    </w:lvl>
    <w:lvl w:ilvl="4" w:tplc="775A2960">
      <w:start w:val="1"/>
      <w:numFmt w:val="lowerLetter"/>
      <w:lvlText w:val="%5."/>
      <w:lvlJc w:val="left"/>
      <w:pPr>
        <w:ind w:left="3600" w:hanging="360"/>
      </w:pPr>
    </w:lvl>
    <w:lvl w:ilvl="5" w:tplc="C0CA7870">
      <w:start w:val="1"/>
      <w:numFmt w:val="lowerRoman"/>
      <w:lvlText w:val="%6."/>
      <w:lvlJc w:val="right"/>
      <w:pPr>
        <w:ind w:left="4320" w:hanging="180"/>
      </w:pPr>
    </w:lvl>
    <w:lvl w:ilvl="6" w:tplc="D29ADB24">
      <w:start w:val="1"/>
      <w:numFmt w:val="decimal"/>
      <w:lvlText w:val="%7."/>
      <w:lvlJc w:val="left"/>
      <w:pPr>
        <w:ind w:left="5040" w:hanging="360"/>
      </w:pPr>
    </w:lvl>
    <w:lvl w:ilvl="7" w:tplc="B3C07C80">
      <w:start w:val="1"/>
      <w:numFmt w:val="lowerLetter"/>
      <w:lvlText w:val="%8."/>
      <w:lvlJc w:val="left"/>
      <w:pPr>
        <w:ind w:left="5760" w:hanging="360"/>
      </w:pPr>
    </w:lvl>
    <w:lvl w:ilvl="8" w:tplc="9CB6936C">
      <w:start w:val="1"/>
      <w:numFmt w:val="lowerRoman"/>
      <w:lvlText w:val="%9."/>
      <w:lvlJc w:val="right"/>
      <w:pPr>
        <w:ind w:left="6480" w:hanging="180"/>
      </w:pPr>
    </w:lvl>
  </w:abstractNum>
  <w:abstractNum w:abstractNumId="4" w15:restartNumberingAfterBreak="0">
    <w:nsid w:val="24E2343A"/>
    <w:multiLevelType w:val="hybridMultilevel"/>
    <w:tmpl w:val="679C2210"/>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5" w15:restartNumberingAfterBreak="0">
    <w:nsid w:val="2ECB7114"/>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EE24B26"/>
    <w:multiLevelType w:val="multilevel"/>
    <w:tmpl w:val="5F68A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FAA4FFD"/>
    <w:multiLevelType w:val="hybridMultilevel"/>
    <w:tmpl w:val="53BE16C4"/>
    <w:lvl w:ilvl="0" w:tplc="60424636">
      <w:start w:val="1"/>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359A1325"/>
    <w:multiLevelType w:val="multilevel"/>
    <w:tmpl w:val="54FA8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AE93E1A"/>
    <w:multiLevelType w:val="hybridMultilevel"/>
    <w:tmpl w:val="43B258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D7E4C4E"/>
    <w:multiLevelType w:val="multilevel"/>
    <w:tmpl w:val="26863DE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4080E08"/>
    <w:multiLevelType w:val="hybridMultilevel"/>
    <w:tmpl w:val="5A7485D8"/>
    <w:lvl w:ilvl="0" w:tplc="C4D4B604">
      <w:start w:val="5"/>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72B64BE"/>
    <w:multiLevelType w:val="hybridMultilevel"/>
    <w:tmpl w:val="140C932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5B953082"/>
    <w:multiLevelType w:val="hybridMultilevel"/>
    <w:tmpl w:val="5986F896"/>
    <w:lvl w:ilvl="0" w:tplc="60424636">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616A6691"/>
    <w:multiLevelType w:val="hybridMultilevel"/>
    <w:tmpl w:val="C9E61F8A"/>
    <w:lvl w:ilvl="0" w:tplc="E27AF54A">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66466A1A"/>
    <w:multiLevelType w:val="hybridMultilevel"/>
    <w:tmpl w:val="5D947CA8"/>
    <w:lvl w:ilvl="0" w:tplc="0410000F">
      <w:start w:val="1"/>
      <w:numFmt w:val="decimal"/>
      <w:lvlText w:val="%1."/>
      <w:lvlJc w:val="left"/>
      <w:pPr>
        <w:ind w:left="644" w:hanging="360"/>
      </w:p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6" w15:restartNumberingAfterBreak="0">
    <w:nsid w:val="67B8492C"/>
    <w:multiLevelType w:val="hybridMultilevel"/>
    <w:tmpl w:val="42482056"/>
    <w:lvl w:ilvl="0" w:tplc="C428C280">
      <w:start w:val="15"/>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68B81682"/>
    <w:multiLevelType w:val="hybridMultilevel"/>
    <w:tmpl w:val="5B4A833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6E4519CB"/>
    <w:multiLevelType w:val="hybridMultilevel"/>
    <w:tmpl w:val="5B4A833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71F178CF"/>
    <w:multiLevelType w:val="multilevel"/>
    <w:tmpl w:val="F36E60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59E74AE"/>
    <w:multiLevelType w:val="hybridMultilevel"/>
    <w:tmpl w:val="F832319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78216826"/>
    <w:multiLevelType w:val="multilevel"/>
    <w:tmpl w:val="AF783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AC22DC8"/>
    <w:multiLevelType w:val="hybridMultilevel"/>
    <w:tmpl w:val="EE443EB8"/>
    <w:lvl w:ilvl="0" w:tplc="60424636">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273246904">
    <w:abstractNumId w:val="3"/>
  </w:num>
  <w:num w:numId="2" w16cid:durableId="337192349">
    <w:abstractNumId w:val="20"/>
  </w:num>
  <w:num w:numId="3" w16cid:durableId="1557089367">
    <w:abstractNumId w:val="12"/>
  </w:num>
  <w:num w:numId="4" w16cid:durableId="713509171">
    <w:abstractNumId w:val="17"/>
  </w:num>
  <w:num w:numId="5" w16cid:durableId="1815219009">
    <w:abstractNumId w:val="18"/>
  </w:num>
  <w:num w:numId="6" w16cid:durableId="227762545">
    <w:abstractNumId w:val="22"/>
  </w:num>
  <w:num w:numId="7" w16cid:durableId="1341084315">
    <w:abstractNumId w:val="2"/>
  </w:num>
  <w:num w:numId="8" w16cid:durableId="114061597">
    <w:abstractNumId w:val="7"/>
  </w:num>
  <w:num w:numId="9" w16cid:durableId="561140005">
    <w:abstractNumId w:val="13"/>
  </w:num>
  <w:num w:numId="10" w16cid:durableId="972175063">
    <w:abstractNumId w:val="4"/>
  </w:num>
  <w:num w:numId="11" w16cid:durableId="938486596">
    <w:abstractNumId w:val="16"/>
  </w:num>
  <w:num w:numId="12" w16cid:durableId="1522433842">
    <w:abstractNumId w:val="6"/>
  </w:num>
  <w:num w:numId="13" w16cid:durableId="2029065186">
    <w:abstractNumId w:val="8"/>
  </w:num>
  <w:num w:numId="14" w16cid:durableId="12802233">
    <w:abstractNumId w:val="1"/>
  </w:num>
  <w:num w:numId="15" w16cid:durableId="578321347">
    <w:abstractNumId w:val="0"/>
  </w:num>
  <w:num w:numId="16" w16cid:durableId="493490483">
    <w:abstractNumId w:val="19"/>
  </w:num>
  <w:num w:numId="17" w16cid:durableId="1387295458">
    <w:abstractNumId w:val="9"/>
  </w:num>
  <w:num w:numId="18" w16cid:durableId="621037889">
    <w:abstractNumId w:val="21"/>
  </w:num>
  <w:num w:numId="19" w16cid:durableId="1944917036">
    <w:abstractNumId w:val="10"/>
  </w:num>
  <w:num w:numId="20" w16cid:durableId="1564828931">
    <w:abstractNumId w:val="5"/>
  </w:num>
  <w:num w:numId="21" w16cid:durableId="1060976162">
    <w:abstractNumId w:val="15"/>
  </w:num>
  <w:num w:numId="22" w16cid:durableId="1195650389">
    <w:abstractNumId w:val="11"/>
  </w:num>
  <w:num w:numId="23" w16cid:durableId="25494655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8"/>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3263"/>
    <w:rsid w:val="00010678"/>
    <w:rsid w:val="00014CDB"/>
    <w:rsid w:val="00014E66"/>
    <w:rsid w:val="00015040"/>
    <w:rsid w:val="00015EFA"/>
    <w:rsid w:val="00023D5D"/>
    <w:rsid w:val="00024BA1"/>
    <w:rsid w:val="00037FF0"/>
    <w:rsid w:val="000419EF"/>
    <w:rsid w:val="00065E04"/>
    <w:rsid w:val="00081EAF"/>
    <w:rsid w:val="00083263"/>
    <w:rsid w:val="00086FB8"/>
    <w:rsid w:val="00087C3B"/>
    <w:rsid w:val="00091CFD"/>
    <w:rsid w:val="000A2D9D"/>
    <w:rsid w:val="000A47D8"/>
    <w:rsid w:val="000A5328"/>
    <w:rsid w:val="000A60C6"/>
    <w:rsid w:val="000B17B8"/>
    <w:rsid w:val="000B56EA"/>
    <w:rsid w:val="000D55B4"/>
    <w:rsid w:val="000E2E9D"/>
    <w:rsid w:val="000E3523"/>
    <w:rsid w:val="001005E2"/>
    <w:rsid w:val="0010139E"/>
    <w:rsid w:val="00102010"/>
    <w:rsid w:val="0011273A"/>
    <w:rsid w:val="00120546"/>
    <w:rsid w:val="00123278"/>
    <w:rsid w:val="00124BA9"/>
    <w:rsid w:val="001265B9"/>
    <w:rsid w:val="00132AC8"/>
    <w:rsid w:val="00134F85"/>
    <w:rsid w:val="00135E77"/>
    <w:rsid w:val="001461AC"/>
    <w:rsid w:val="001517FC"/>
    <w:rsid w:val="00155DBC"/>
    <w:rsid w:val="00157DD6"/>
    <w:rsid w:val="00163C3D"/>
    <w:rsid w:val="0016780B"/>
    <w:rsid w:val="00183718"/>
    <w:rsid w:val="00186E65"/>
    <w:rsid w:val="00190A6E"/>
    <w:rsid w:val="0019167D"/>
    <w:rsid w:val="00197D04"/>
    <w:rsid w:val="001A6594"/>
    <w:rsid w:val="001B0155"/>
    <w:rsid w:val="001B06BA"/>
    <w:rsid w:val="001B2D4A"/>
    <w:rsid w:val="001B745A"/>
    <w:rsid w:val="001C5AB6"/>
    <w:rsid w:val="001D67D2"/>
    <w:rsid w:val="00205B00"/>
    <w:rsid w:val="002132A1"/>
    <w:rsid w:val="00213D16"/>
    <w:rsid w:val="00227902"/>
    <w:rsid w:val="002306CB"/>
    <w:rsid w:val="00237565"/>
    <w:rsid w:val="00242F02"/>
    <w:rsid w:val="0025070C"/>
    <w:rsid w:val="00251AF7"/>
    <w:rsid w:val="002565D2"/>
    <w:rsid w:val="00260859"/>
    <w:rsid w:val="002700A6"/>
    <w:rsid w:val="002752A3"/>
    <w:rsid w:val="00286A0F"/>
    <w:rsid w:val="002931E3"/>
    <w:rsid w:val="002A5432"/>
    <w:rsid w:val="002A7B03"/>
    <w:rsid w:val="002B0A68"/>
    <w:rsid w:val="002B253D"/>
    <w:rsid w:val="002C3C56"/>
    <w:rsid w:val="002C3D1E"/>
    <w:rsid w:val="002C52BA"/>
    <w:rsid w:val="002C6B8E"/>
    <w:rsid w:val="002D347B"/>
    <w:rsid w:val="002F0C5A"/>
    <w:rsid w:val="002F0D87"/>
    <w:rsid w:val="002F48D6"/>
    <w:rsid w:val="002F7E83"/>
    <w:rsid w:val="003038E5"/>
    <w:rsid w:val="00310C4A"/>
    <w:rsid w:val="00310CE5"/>
    <w:rsid w:val="00313E6D"/>
    <w:rsid w:val="00316D3C"/>
    <w:rsid w:val="00327F2E"/>
    <w:rsid w:val="00334433"/>
    <w:rsid w:val="003372CE"/>
    <w:rsid w:val="0034194A"/>
    <w:rsid w:val="003432EE"/>
    <w:rsid w:val="003443ED"/>
    <w:rsid w:val="0035482A"/>
    <w:rsid w:val="00360B4A"/>
    <w:rsid w:val="00361947"/>
    <w:rsid w:val="003725D7"/>
    <w:rsid w:val="00373AAA"/>
    <w:rsid w:val="00381854"/>
    <w:rsid w:val="003822A4"/>
    <w:rsid w:val="00386779"/>
    <w:rsid w:val="00395461"/>
    <w:rsid w:val="003A0AF9"/>
    <w:rsid w:val="003B0ED0"/>
    <w:rsid w:val="003C05B9"/>
    <w:rsid w:val="003C08F3"/>
    <w:rsid w:val="003C515F"/>
    <w:rsid w:val="003C75C7"/>
    <w:rsid w:val="003E01D8"/>
    <w:rsid w:val="003E33E2"/>
    <w:rsid w:val="003E471F"/>
    <w:rsid w:val="003F2292"/>
    <w:rsid w:val="003F5BAA"/>
    <w:rsid w:val="003F7F3F"/>
    <w:rsid w:val="00406B82"/>
    <w:rsid w:val="00413212"/>
    <w:rsid w:val="00427C30"/>
    <w:rsid w:val="004305F3"/>
    <w:rsid w:val="00433D7E"/>
    <w:rsid w:val="004402CE"/>
    <w:rsid w:val="00443D77"/>
    <w:rsid w:val="00444794"/>
    <w:rsid w:val="00444C3F"/>
    <w:rsid w:val="004465CB"/>
    <w:rsid w:val="0045170D"/>
    <w:rsid w:val="00460DB9"/>
    <w:rsid w:val="00461951"/>
    <w:rsid w:val="00461B7C"/>
    <w:rsid w:val="00467697"/>
    <w:rsid w:val="00467A92"/>
    <w:rsid w:val="004741AD"/>
    <w:rsid w:val="00482C5B"/>
    <w:rsid w:val="00490601"/>
    <w:rsid w:val="00490651"/>
    <w:rsid w:val="0049661B"/>
    <w:rsid w:val="00496774"/>
    <w:rsid w:val="004A3CA9"/>
    <w:rsid w:val="004A6400"/>
    <w:rsid w:val="004B1A53"/>
    <w:rsid w:val="004C57DC"/>
    <w:rsid w:val="004D3316"/>
    <w:rsid w:val="004D4471"/>
    <w:rsid w:val="004E69BA"/>
    <w:rsid w:val="004F24F2"/>
    <w:rsid w:val="004F507F"/>
    <w:rsid w:val="005069ED"/>
    <w:rsid w:val="00517A08"/>
    <w:rsid w:val="00520B8A"/>
    <w:rsid w:val="00522C53"/>
    <w:rsid w:val="0052399C"/>
    <w:rsid w:val="00533096"/>
    <w:rsid w:val="005332D0"/>
    <w:rsid w:val="00534658"/>
    <w:rsid w:val="005445FA"/>
    <w:rsid w:val="00545464"/>
    <w:rsid w:val="00547E38"/>
    <w:rsid w:val="005515D5"/>
    <w:rsid w:val="005571E4"/>
    <w:rsid w:val="005602C5"/>
    <w:rsid w:val="00562D2B"/>
    <w:rsid w:val="005642BE"/>
    <w:rsid w:val="0056512B"/>
    <w:rsid w:val="00567116"/>
    <w:rsid w:val="00595621"/>
    <w:rsid w:val="005A49AF"/>
    <w:rsid w:val="005B4DDD"/>
    <w:rsid w:val="005B547F"/>
    <w:rsid w:val="005D2369"/>
    <w:rsid w:val="005D60F9"/>
    <w:rsid w:val="005E0522"/>
    <w:rsid w:val="005E203B"/>
    <w:rsid w:val="005E2754"/>
    <w:rsid w:val="005E5167"/>
    <w:rsid w:val="005E5C9F"/>
    <w:rsid w:val="005F08B4"/>
    <w:rsid w:val="005F2AAB"/>
    <w:rsid w:val="0060011B"/>
    <w:rsid w:val="0060119C"/>
    <w:rsid w:val="006057BD"/>
    <w:rsid w:val="00610D0F"/>
    <w:rsid w:val="00612B38"/>
    <w:rsid w:val="00621F0B"/>
    <w:rsid w:val="006223D7"/>
    <w:rsid w:val="00631A11"/>
    <w:rsid w:val="00642256"/>
    <w:rsid w:val="00643CAF"/>
    <w:rsid w:val="00647D64"/>
    <w:rsid w:val="00653824"/>
    <w:rsid w:val="006813CB"/>
    <w:rsid w:val="00682E06"/>
    <w:rsid w:val="006863FB"/>
    <w:rsid w:val="006925C6"/>
    <w:rsid w:val="00694D7A"/>
    <w:rsid w:val="006A25F5"/>
    <w:rsid w:val="006A51FC"/>
    <w:rsid w:val="006B0BE3"/>
    <w:rsid w:val="006B2DA2"/>
    <w:rsid w:val="006B3E7A"/>
    <w:rsid w:val="006B73EA"/>
    <w:rsid w:val="006B762A"/>
    <w:rsid w:val="006C40DC"/>
    <w:rsid w:val="006C4677"/>
    <w:rsid w:val="006C6F43"/>
    <w:rsid w:val="006C7A8D"/>
    <w:rsid w:val="006D52E7"/>
    <w:rsid w:val="006E1F2F"/>
    <w:rsid w:val="00713999"/>
    <w:rsid w:val="007156AF"/>
    <w:rsid w:val="00721C5E"/>
    <w:rsid w:val="0072513E"/>
    <w:rsid w:val="00731AC2"/>
    <w:rsid w:val="0074727A"/>
    <w:rsid w:val="00756CE7"/>
    <w:rsid w:val="00763948"/>
    <w:rsid w:val="00765E11"/>
    <w:rsid w:val="00774B0E"/>
    <w:rsid w:val="00775594"/>
    <w:rsid w:val="00775FE4"/>
    <w:rsid w:val="00777D38"/>
    <w:rsid w:val="007803E4"/>
    <w:rsid w:val="00782BC7"/>
    <w:rsid w:val="00785A63"/>
    <w:rsid w:val="00786253"/>
    <w:rsid w:val="0079352B"/>
    <w:rsid w:val="00796B79"/>
    <w:rsid w:val="007A404D"/>
    <w:rsid w:val="007A41AE"/>
    <w:rsid w:val="007A4B18"/>
    <w:rsid w:val="007A4F04"/>
    <w:rsid w:val="007B1038"/>
    <w:rsid w:val="007B2FB1"/>
    <w:rsid w:val="007B6B74"/>
    <w:rsid w:val="007C2304"/>
    <w:rsid w:val="007C382C"/>
    <w:rsid w:val="007C6490"/>
    <w:rsid w:val="007D1984"/>
    <w:rsid w:val="007D2BED"/>
    <w:rsid w:val="007D3AAF"/>
    <w:rsid w:val="007D4A72"/>
    <w:rsid w:val="007E392A"/>
    <w:rsid w:val="007E5679"/>
    <w:rsid w:val="007F48FD"/>
    <w:rsid w:val="00801CEB"/>
    <w:rsid w:val="00802D67"/>
    <w:rsid w:val="00803EF5"/>
    <w:rsid w:val="0081669C"/>
    <w:rsid w:val="00822AA3"/>
    <w:rsid w:val="00824329"/>
    <w:rsid w:val="00832162"/>
    <w:rsid w:val="00834A5A"/>
    <w:rsid w:val="00835875"/>
    <w:rsid w:val="0083681B"/>
    <w:rsid w:val="00836EC6"/>
    <w:rsid w:val="00842B7B"/>
    <w:rsid w:val="008453A2"/>
    <w:rsid w:val="008521BE"/>
    <w:rsid w:val="00854A00"/>
    <w:rsid w:val="00855D0E"/>
    <w:rsid w:val="0086202C"/>
    <w:rsid w:val="00862B92"/>
    <w:rsid w:val="008652AD"/>
    <w:rsid w:val="0086669D"/>
    <w:rsid w:val="008743AA"/>
    <w:rsid w:val="00874B5C"/>
    <w:rsid w:val="00875DCA"/>
    <w:rsid w:val="00884E02"/>
    <w:rsid w:val="008A68FD"/>
    <w:rsid w:val="008A7542"/>
    <w:rsid w:val="008B089F"/>
    <w:rsid w:val="008C470D"/>
    <w:rsid w:val="008D1169"/>
    <w:rsid w:val="008D14ED"/>
    <w:rsid w:val="008D1BBC"/>
    <w:rsid w:val="008E3B52"/>
    <w:rsid w:val="008F4E13"/>
    <w:rsid w:val="00901BA9"/>
    <w:rsid w:val="0090348E"/>
    <w:rsid w:val="0091707F"/>
    <w:rsid w:val="00917696"/>
    <w:rsid w:val="00917C40"/>
    <w:rsid w:val="00920556"/>
    <w:rsid w:val="009246B2"/>
    <w:rsid w:val="00926EF6"/>
    <w:rsid w:val="009300D0"/>
    <w:rsid w:val="009452AD"/>
    <w:rsid w:val="00952843"/>
    <w:rsid w:val="009654F8"/>
    <w:rsid w:val="00967C46"/>
    <w:rsid w:val="00972D74"/>
    <w:rsid w:val="009829D6"/>
    <w:rsid w:val="00985060"/>
    <w:rsid w:val="00991977"/>
    <w:rsid w:val="009964AE"/>
    <w:rsid w:val="009A2FB3"/>
    <w:rsid w:val="009B090F"/>
    <w:rsid w:val="009B32E1"/>
    <w:rsid w:val="009B642F"/>
    <w:rsid w:val="009C31AC"/>
    <w:rsid w:val="009E5A7D"/>
    <w:rsid w:val="009E60D6"/>
    <w:rsid w:val="009E642C"/>
    <w:rsid w:val="009F205A"/>
    <w:rsid w:val="009F412D"/>
    <w:rsid w:val="00A03C62"/>
    <w:rsid w:val="00A06EBE"/>
    <w:rsid w:val="00A10C86"/>
    <w:rsid w:val="00A113C9"/>
    <w:rsid w:val="00A203B0"/>
    <w:rsid w:val="00A26C28"/>
    <w:rsid w:val="00A36E2C"/>
    <w:rsid w:val="00A379F5"/>
    <w:rsid w:val="00A65F02"/>
    <w:rsid w:val="00A76F67"/>
    <w:rsid w:val="00AA176D"/>
    <w:rsid w:val="00AA1832"/>
    <w:rsid w:val="00AA57E9"/>
    <w:rsid w:val="00AB182E"/>
    <w:rsid w:val="00AD466B"/>
    <w:rsid w:val="00AD50E7"/>
    <w:rsid w:val="00AD5325"/>
    <w:rsid w:val="00AE12CB"/>
    <w:rsid w:val="00AE3EF4"/>
    <w:rsid w:val="00AE7E46"/>
    <w:rsid w:val="00AF67A2"/>
    <w:rsid w:val="00B01BC1"/>
    <w:rsid w:val="00B048C9"/>
    <w:rsid w:val="00B07A52"/>
    <w:rsid w:val="00B10E1E"/>
    <w:rsid w:val="00B14854"/>
    <w:rsid w:val="00B15F51"/>
    <w:rsid w:val="00B161DB"/>
    <w:rsid w:val="00B236FA"/>
    <w:rsid w:val="00B27C47"/>
    <w:rsid w:val="00B50C93"/>
    <w:rsid w:val="00B5552C"/>
    <w:rsid w:val="00B674A6"/>
    <w:rsid w:val="00B67C30"/>
    <w:rsid w:val="00B70174"/>
    <w:rsid w:val="00B73D2C"/>
    <w:rsid w:val="00B85F07"/>
    <w:rsid w:val="00B862EF"/>
    <w:rsid w:val="00B90926"/>
    <w:rsid w:val="00B94FA0"/>
    <w:rsid w:val="00B95C0E"/>
    <w:rsid w:val="00B95C18"/>
    <w:rsid w:val="00BA2599"/>
    <w:rsid w:val="00BB1180"/>
    <w:rsid w:val="00BC680D"/>
    <w:rsid w:val="00BD54E6"/>
    <w:rsid w:val="00BD75A0"/>
    <w:rsid w:val="00BE0884"/>
    <w:rsid w:val="00BE6367"/>
    <w:rsid w:val="00BF3A1E"/>
    <w:rsid w:val="00BF4BB6"/>
    <w:rsid w:val="00C026C7"/>
    <w:rsid w:val="00C02E23"/>
    <w:rsid w:val="00C11DFB"/>
    <w:rsid w:val="00C11FCA"/>
    <w:rsid w:val="00C12824"/>
    <w:rsid w:val="00C151C4"/>
    <w:rsid w:val="00C1529D"/>
    <w:rsid w:val="00C21BCD"/>
    <w:rsid w:val="00C25D36"/>
    <w:rsid w:val="00C25ED3"/>
    <w:rsid w:val="00C2760D"/>
    <w:rsid w:val="00C44F16"/>
    <w:rsid w:val="00C52248"/>
    <w:rsid w:val="00C564A6"/>
    <w:rsid w:val="00C6485D"/>
    <w:rsid w:val="00C7698C"/>
    <w:rsid w:val="00C82B26"/>
    <w:rsid w:val="00CB3498"/>
    <w:rsid w:val="00CB56CC"/>
    <w:rsid w:val="00CB70A5"/>
    <w:rsid w:val="00CB7D6D"/>
    <w:rsid w:val="00CC2DCF"/>
    <w:rsid w:val="00CC2F41"/>
    <w:rsid w:val="00CC52FB"/>
    <w:rsid w:val="00CD29E8"/>
    <w:rsid w:val="00CD7CA1"/>
    <w:rsid w:val="00D00755"/>
    <w:rsid w:val="00D165C0"/>
    <w:rsid w:val="00D17BF6"/>
    <w:rsid w:val="00D2657E"/>
    <w:rsid w:val="00D31E1B"/>
    <w:rsid w:val="00D3531C"/>
    <w:rsid w:val="00D36CDD"/>
    <w:rsid w:val="00D3790F"/>
    <w:rsid w:val="00D4417D"/>
    <w:rsid w:val="00D512E3"/>
    <w:rsid w:val="00D60B5E"/>
    <w:rsid w:val="00D63E31"/>
    <w:rsid w:val="00D679CB"/>
    <w:rsid w:val="00D71464"/>
    <w:rsid w:val="00D7662E"/>
    <w:rsid w:val="00D76E47"/>
    <w:rsid w:val="00D770DC"/>
    <w:rsid w:val="00D77BBA"/>
    <w:rsid w:val="00D81B74"/>
    <w:rsid w:val="00D860B2"/>
    <w:rsid w:val="00D9075B"/>
    <w:rsid w:val="00DA062E"/>
    <w:rsid w:val="00DA15B3"/>
    <w:rsid w:val="00DA42AA"/>
    <w:rsid w:val="00DA43AD"/>
    <w:rsid w:val="00DB08B1"/>
    <w:rsid w:val="00DB3A83"/>
    <w:rsid w:val="00DB6855"/>
    <w:rsid w:val="00DC41A8"/>
    <w:rsid w:val="00DC4F50"/>
    <w:rsid w:val="00DD2011"/>
    <w:rsid w:val="00DD3C0D"/>
    <w:rsid w:val="00DE0F59"/>
    <w:rsid w:val="00DE359B"/>
    <w:rsid w:val="00DE4406"/>
    <w:rsid w:val="00DF0DC5"/>
    <w:rsid w:val="00DF1B02"/>
    <w:rsid w:val="00DF4864"/>
    <w:rsid w:val="00DF4A51"/>
    <w:rsid w:val="00DF4B82"/>
    <w:rsid w:val="00E0361F"/>
    <w:rsid w:val="00E04D2E"/>
    <w:rsid w:val="00E135A9"/>
    <w:rsid w:val="00E1441C"/>
    <w:rsid w:val="00E1536D"/>
    <w:rsid w:val="00E15444"/>
    <w:rsid w:val="00E21B47"/>
    <w:rsid w:val="00E21B5B"/>
    <w:rsid w:val="00E26001"/>
    <w:rsid w:val="00E27101"/>
    <w:rsid w:val="00E2795B"/>
    <w:rsid w:val="00E344E4"/>
    <w:rsid w:val="00E41A3B"/>
    <w:rsid w:val="00E44B7D"/>
    <w:rsid w:val="00E51664"/>
    <w:rsid w:val="00E51CAD"/>
    <w:rsid w:val="00E52B41"/>
    <w:rsid w:val="00E555CB"/>
    <w:rsid w:val="00E56D46"/>
    <w:rsid w:val="00E56D9A"/>
    <w:rsid w:val="00E71D5D"/>
    <w:rsid w:val="00E7328E"/>
    <w:rsid w:val="00E77585"/>
    <w:rsid w:val="00E81094"/>
    <w:rsid w:val="00E834BE"/>
    <w:rsid w:val="00EA2757"/>
    <w:rsid w:val="00EA3A79"/>
    <w:rsid w:val="00EA4317"/>
    <w:rsid w:val="00EB42CE"/>
    <w:rsid w:val="00EB5F14"/>
    <w:rsid w:val="00EC5971"/>
    <w:rsid w:val="00ED0310"/>
    <w:rsid w:val="00EE1094"/>
    <w:rsid w:val="00EE416F"/>
    <w:rsid w:val="00EE4B56"/>
    <w:rsid w:val="00F023D0"/>
    <w:rsid w:val="00F02B13"/>
    <w:rsid w:val="00F03A56"/>
    <w:rsid w:val="00F0627B"/>
    <w:rsid w:val="00F1067B"/>
    <w:rsid w:val="00F16872"/>
    <w:rsid w:val="00F23B21"/>
    <w:rsid w:val="00F25489"/>
    <w:rsid w:val="00F32A28"/>
    <w:rsid w:val="00F37BB0"/>
    <w:rsid w:val="00F409B8"/>
    <w:rsid w:val="00F467B1"/>
    <w:rsid w:val="00F469AE"/>
    <w:rsid w:val="00F46DC5"/>
    <w:rsid w:val="00F51CF4"/>
    <w:rsid w:val="00F5405E"/>
    <w:rsid w:val="00F565F6"/>
    <w:rsid w:val="00F73D93"/>
    <w:rsid w:val="00F75EEF"/>
    <w:rsid w:val="00F808AA"/>
    <w:rsid w:val="00F845C4"/>
    <w:rsid w:val="00F90788"/>
    <w:rsid w:val="00F90936"/>
    <w:rsid w:val="00F9572D"/>
    <w:rsid w:val="00F96ACA"/>
    <w:rsid w:val="00F96F42"/>
    <w:rsid w:val="00FB31CC"/>
    <w:rsid w:val="00FB7037"/>
    <w:rsid w:val="00FC4270"/>
    <w:rsid w:val="00FC518E"/>
    <w:rsid w:val="00FC6892"/>
    <w:rsid w:val="00FD246C"/>
    <w:rsid w:val="00FD24FA"/>
    <w:rsid w:val="00FD5F0C"/>
    <w:rsid w:val="00FE3146"/>
    <w:rsid w:val="00FE63B4"/>
    <w:rsid w:val="00FF2BE9"/>
    <w:rsid w:val="00FF4B1B"/>
    <w:rsid w:val="0794DED6"/>
    <w:rsid w:val="337527E7"/>
    <w:rsid w:val="53EE86B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0997A6"/>
  <w14:defaultImageDpi w14:val="32767"/>
  <w15:chartTrackingRefBased/>
  <w15:docId w15:val="{DC7DA21E-04B1-0B4E-841C-12D2E0080B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F4A51"/>
    <w:rPr>
      <w:rFonts w:ascii="Times New Roman" w:eastAsia="Times New Roman" w:hAnsi="Times New Roman" w:cs="Times New Roman"/>
      <w:lang w:eastAsia="it-IT"/>
    </w:rPr>
  </w:style>
  <w:style w:type="paragraph" w:styleId="Titolo3">
    <w:name w:val="heading 3"/>
    <w:basedOn w:val="Normale"/>
    <w:link w:val="Titolo3Carattere"/>
    <w:uiPriority w:val="9"/>
    <w:qFormat/>
    <w:rsid w:val="002C52BA"/>
    <w:pPr>
      <w:spacing w:before="100" w:beforeAutospacing="1" w:after="100" w:afterAutospacing="1"/>
      <w:outlineLvl w:val="2"/>
    </w:pPr>
    <w:rPr>
      <w:b/>
      <w:bCs/>
      <w:sz w:val="27"/>
      <w:szCs w:val="27"/>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aliases w:val="Paragrafo primo livello"/>
    <w:basedOn w:val="Normale"/>
    <w:uiPriority w:val="34"/>
    <w:qFormat/>
    <w:rsid w:val="00083263"/>
    <w:pPr>
      <w:ind w:left="720"/>
      <w:contextualSpacing/>
    </w:pPr>
  </w:style>
  <w:style w:type="character" w:styleId="Collegamentoipertestuale">
    <w:name w:val="Hyperlink"/>
    <w:basedOn w:val="Carpredefinitoparagrafo"/>
    <w:uiPriority w:val="99"/>
    <w:unhideWhenUsed/>
    <w:rsid w:val="00083263"/>
    <w:rPr>
      <w:color w:val="0000FF"/>
      <w:u w:val="single"/>
    </w:rPr>
  </w:style>
  <w:style w:type="character" w:customStyle="1" w:styleId="apple-converted-space">
    <w:name w:val="apple-converted-space"/>
    <w:basedOn w:val="Carpredefinitoparagrafo"/>
    <w:rsid w:val="009B090F"/>
  </w:style>
  <w:style w:type="character" w:customStyle="1" w:styleId="A13">
    <w:name w:val="A13"/>
    <w:uiPriority w:val="99"/>
    <w:rsid w:val="005E0522"/>
    <w:rPr>
      <w:rFonts w:cs="AvantGarde"/>
      <w:color w:val="000000"/>
      <w:sz w:val="19"/>
      <w:szCs w:val="19"/>
    </w:rPr>
  </w:style>
  <w:style w:type="character" w:styleId="Rimandocommento">
    <w:name w:val="annotation reference"/>
    <w:basedOn w:val="Carpredefinitoparagrafo"/>
    <w:uiPriority w:val="99"/>
    <w:semiHidden/>
    <w:unhideWhenUsed/>
    <w:rsid w:val="007156AF"/>
    <w:rPr>
      <w:sz w:val="16"/>
      <w:szCs w:val="16"/>
    </w:rPr>
  </w:style>
  <w:style w:type="paragraph" w:styleId="Testocommento">
    <w:name w:val="annotation text"/>
    <w:basedOn w:val="Normale"/>
    <w:link w:val="TestocommentoCarattere"/>
    <w:uiPriority w:val="99"/>
    <w:semiHidden/>
    <w:unhideWhenUsed/>
    <w:rsid w:val="007156AF"/>
    <w:rPr>
      <w:sz w:val="20"/>
      <w:szCs w:val="20"/>
    </w:rPr>
  </w:style>
  <w:style w:type="character" w:customStyle="1" w:styleId="TestocommentoCarattere">
    <w:name w:val="Testo commento Carattere"/>
    <w:basedOn w:val="Carpredefinitoparagrafo"/>
    <w:link w:val="Testocommento"/>
    <w:uiPriority w:val="99"/>
    <w:semiHidden/>
    <w:rsid w:val="007156AF"/>
    <w:rPr>
      <w:sz w:val="20"/>
      <w:szCs w:val="20"/>
    </w:rPr>
  </w:style>
  <w:style w:type="paragraph" w:styleId="Soggettocommento">
    <w:name w:val="annotation subject"/>
    <w:basedOn w:val="Testocommento"/>
    <w:next w:val="Testocommento"/>
    <w:link w:val="SoggettocommentoCarattere"/>
    <w:uiPriority w:val="99"/>
    <w:semiHidden/>
    <w:unhideWhenUsed/>
    <w:rsid w:val="007156AF"/>
    <w:rPr>
      <w:b/>
      <w:bCs/>
    </w:rPr>
  </w:style>
  <w:style w:type="character" w:customStyle="1" w:styleId="SoggettocommentoCarattere">
    <w:name w:val="Soggetto commento Carattere"/>
    <w:basedOn w:val="TestocommentoCarattere"/>
    <w:link w:val="Soggettocommento"/>
    <w:uiPriority w:val="99"/>
    <w:semiHidden/>
    <w:rsid w:val="007156AF"/>
    <w:rPr>
      <w:b/>
      <w:bCs/>
      <w:sz w:val="20"/>
      <w:szCs w:val="20"/>
    </w:rPr>
  </w:style>
  <w:style w:type="paragraph" w:styleId="Testofumetto">
    <w:name w:val="Balloon Text"/>
    <w:basedOn w:val="Normale"/>
    <w:link w:val="TestofumettoCarattere"/>
    <w:uiPriority w:val="99"/>
    <w:semiHidden/>
    <w:unhideWhenUsed/>
    <w:rsid w:val="007156AF"/>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7156AF"/>
    <w:rPr>
      <w:rFonts w:ascii="Segoe UI" w:hAnsi="Segoe UI" w:cs="Segoe UI"/>
      <w:sz w:val="18"/>
      <w:szCs w:val="18"/>
    </w:rPr>
  </w:style>
  <w:style w:type="paragraph" w:customStyle="1" w:styleId="Default">
    <w:name w:val="Default"/>
    <w:rsid w:val="007156AF"/>
    <w:pPr>
      <w:autoSpaceDE w:val="0"/>
      <w:autoSpaceDN w:val="0"/>
      <w:adjustRightInd w:val="0"/>
    </w:pPr>
    <w:rPr>
      <w:rFonts w:ascii="Eurostile ExtendedTwo" w:hAnsi="Eurostile ExtendedTwo" w:cs="Eurostile ExtendedTwo"/>
      <w:color w:val="000000"/>
    </w:rPr>
  </w:style>
  <w:style w:type="paragraph" w:customStyle="1" w:styleId="Pa2">
    <w:name w:val="Pa2"/>
    <w:basedOn w:val="Default"/>
    <w:next w:val="Default"/>
    <w:uiPriority w:val="99"/>
    <w:rsid w:val="008652AD"/>
    <w:pPr>
      <w:spacing w:line="241" w:lineRule="atLeast"/>
    </w:pPr>
    <w:rPr>
      <w:rFonts w:ascii="AvantGarde" w:hAnsi="AvantGarde" w:cstheme="minorBidi"/>
      <w:color w:val="auto"/>
    </w:rPr>
  </w:style>
  <w:style w:type="paragraph" w:styleId="NormaleWeb">
    <w:name w:val="Normal (Web)"/>
    <w:basedOn w:val="Normale"/>
    <w:uiPriority w:val="99"/>
    <w:unhideWhenUsed/>
    <w:rsid w:val="00310C4A"/>
    <w:pPr>
      <w:spacing w:before="100" w:beforeAutospacing="1" w:after="100" w:afterAutospacing="1"/>
    </w:pPr>
  </w:style>
  <w:style w:type="character" w:customStyle="1" w:styleId="ui-provider">
    <w:name w:val="ui-provider"/>
    <w:basedOn w:val="Carpredefinitoparagrafo"/>
    <w:rsid w:val="00CC2DCF"/>
  </w:style>
  <w:style w:type="character" w:styleId="Menzionenonrisolta">
    <w:name w:val="Unresolved Mention"/>
    <w:basedOn w:val="Carpredefinitoparagrafo"/>
    <w:uiPriority w:val="99"/>
    <w:semiHidden/>
    <w:unhideWhenUsed/>
    <w:rsid w:val="00D165C0"/>
    <w:rPr>
      <w:color w:val="605E5C"/>
      <w:shd w:val="clear" w:color="auto" w:fill="E1DFDD"/>
    </w:rPr>
  </w:style>
  <w:style w:type="paragraph" w:customStyle="1" w:styleId="paragraph">
    <w:name w:val="paragraph"/>
    <w:basedOn w:val="Normale"/>
    <w:rsid w:val="00CD7CA1"/>
    <w:pPr>
      <w:spacing w:before="100" w:beforeAutospacing="1" w:after="100" w:afterAutospacing="1"/>
    </w:pPr>
  </w:style>
  <w:style w:type="character" w:styleId="Collegamentovisitato">
    <w:name w:val="FollowedHyperlink"/>
    <w:basedOn w:val="Carpredefinitoparagrafo"/>
    <w:uiPriority w:val="99"/>
    <w:semiHidden/>
    <w:unhideWhenUsed/>
    <w:rsid w:val="00123278"/>
    <w:rPr>
      <w:color w:val="954F72" w:themeColor="followedHyperlink"/>
      <w:u w:val="single"/>
    </w:rPr>
  </w:style>
  <w:style w:type="paragraph" w:customStyle="1" w:styleId="p1">
    <w:name w:val="p1"/>
    <w:basedOn w:val="Normale"/>
    <w:rsid w:val="00642256"/>
    <w:rPr>
      <w:rFonts w:ascii=".AppleSystemUIFont" w:hAnsi=".AppleSystemUIFont"/>
      <w:color w:val="0E0E0E"/>
      <w:sz w:val="21"/>
      <w:szCs w:val="21"/>
    </w:rPr>
  </w:style>
  <w:style w:type="paragraph" w:customStyle="1" w:styleId="p2">
    <w:name w:val="p2"/>
    <w:basedOn w:val="Normale"/>
    <w:rsid w:val="00642256"/>
    <w:rPr>
      <w:rFonts w:ascii=".AppleSystemUIFont" w:hAnsi=".AppleSystemUIFont"/>
      <w:color w:val="0E0E0E"/>
      <w:sz w:val="21"/>
      <w:szCs w:val="21"/>
    </w:rPr>
  </w:style>
  <w:style w:type="paragraph" w:customStyle="1" w:styleId="p3">
    <w:name w:val="p3"/>
    <w:basedOn w:val="Normale"/>
    <w:rsid w:val="00642256"/>
    <w:pPr>
      <w:spacing w:before="180"/>
      <w:ind w:left="195" w:hanging="195"/>
    </w:pPr>
    <w:rPr>
      <w:rFonts w:ascii=".AppleSystemUIFont" w:hAnsi=".AppleSystemUIFont"/>
      <w:color w:val="0E0E0E"/>
      <w:sz w:val="21"/>
      <w:szCs w:val="21"/>
    </w:rPr>
  </w:style>
  <w:style w:type="character" w:customStyle="1" w:styleId="apple-tab-span">
    <w:name w:val="apple-tab-span"/>
    <w:basedOn w:val="Carpredefinitoparagrafo"/>
    <w:rsid w:val="00642256"/>
  </w:style>
  <w:style w:type="paragraph" w:customStyle="1" w:styleId="p4">
    <w:name w:val="p4"/>
    <w:basedOn w:val="Normale"/>
    <w:rsid w:val="00642256"/>
    <w:pPr>
      <w:spacing w:before="180"/>
      <w:ind w:left="195" w:hanging="195"/>
    </w:pPr>
    <w:rPr>
      <w:rFonts w:ascii=".AppleSystemUIFont" w:hAnsi=".AppleSystemUIFont"/>
      <w:color w:val="0E0E0E"/>
      <w:sz w:val="21"/>
      <w:szCs w:val="21"/>
    </w:rPr>
  </w:style>
  <w:style w:type="paragraph" w:styleId="Testonotaapidipagina">
    <w:name w:val="footnote text"/>
    <w:basedOn w:val="Normale"/>
    <w:link w:val="TestonotaapidipaginaCarattere"/>
    <w:uiPriority w:val="99"/>
    <w:semiHidden/>
    <w:unhideWhenUsed/>
    <w:rsid w:val="00135E77"/>
    <w:rPr>
      <w:sz w:val="20"/>
      <w:szCs w:val="20"/>
    </w:rPr>
  </w:style>
  <w:style w:type="character" w:customStyle="1" w:styleId="TestonotaapidipaginaCarattere">
    <w:name w:val="Testo nota a piè di pagina Carattere"/>
    <w:basedOn w:val="Carpredefinitoparagrafo"/>
    <w:link w:val="Testonotaapidipagina"/>
    <w:uiPriority w:val="99"/>
    <w:semiHidden/>
    <w:rsid w:val="00135E77"/>
    <w:rPr>
      <w:sz w:val="20"/>
      <w:szCs w:val="20"/>
    </w:rPr>
  </w:style>
  <w:style w:type="character" w:styleId="Rimandonotaapidipagina">
    <w:name w:val="footnote reference"/>
    <w:basedOn w:val="Carpredefinitoparagrafo"/>
    <w:uiPriority w:val="99"/>
    <w:semiHidden/>
    <w:unhideWhenUsed/>
    <w:rsid w:val="00135E77"/>
    <w:rPr>
      <w:vertAlign w:val="superscript"/>
    </w:rPr>
  </w:style>
  <w:style w:type="character" w:customStyle="1" w:styleId="Titolo3Carattere">
    <w:name w:val="Titolo 3 Carattere"/>
    <w:basedOn w:val="Carpredefinitoparagrafo"/>
    <w:link w:val="Titolo3"/>
    <w:uiPriority w:val="9"/>
    <w:rsid w:val="002C52BA"/>
    <w:rPr>
      <w:rFonts w:ascii="Times New Roman" w:eastAsia="Times New Roman" w:hAnsi="Times New Roman" w:cs="Times New Roman"/>
      <w:b/>
      <w:bCs/>
      <w:sz w:val="27"/>
      <w:szCs w:val="27"/>
      <w:lang w:eastAsia="it-IT"/>
    </w:rPr>
  </w:style>
  <w:style w:type="character" w:customStyle="1" w:styleId="s1">
    <w:name w:val="s1"/>
    <w:basedOn w:val="Carpredefinitoparagrafo"/>
    <w:rsid w:val="002C52BA"/>
  </w:style>
  <w:style w:type="character" w:customStyle="1" w:styleId="s2">
    <w:name w:val="s2"/>
    <w:basedOn w:val="Carpredefinitoparagrafo"/>
    <w:rsid w:val="006B762A"/>
  </w:style>
  <w:style w:type="paragraph" w:styleId="Pidipagina">
    <w:name w:val="footer"/>
    <w:basedOn w:val="Normale"/>
    <w:link w:val="PidipaginaCarattere"/>
    <w:uiPriority w:val="99"/>
    <w:unhideWhenUsed/>
    <w:rsid w:val="00B90926"/>
    <w:pPr>
      <w:tabs>
        <w:tab w:val="center" w:pos="4819"/>
        <w:tab w:val="right" w:pos="9638"/>
      </w:tabs>
    </w:pPr>
  </w:style>
  <w:style w:type="character" w:customStyle="1" w:styleId="PidipaginaCarattere">
    <w:name w:val="Piè di pagina Carattere"/>
    <w:basedOn w:val="Carpredefinitoparagrafo"/>
    <w:link w:val="Pidipagina"/>
    <w:uiPriority w:val="99"/>
    <w:rsid w:val="00B90926"/>
  </w:style>
  <w:style w:type="character" w:styleId="Numeropagina">
    <w:name w:val="page number"/>
    <w:basedOn w:val="Carpredefinitoparagrafo"/>
    <w:uiPriority w:val="99"/>
    <w:semiHidden/>
    <w:unhideWhenUsed/>
    <w:rsid w:val="00B90926"/>
  </w:style>
  <w:style w:type="paragraph" w:styleId="Intestazione">
    <w:name w:val="header"/>
    <w:basedOn w:val="Normale"/>
    <w:link w:val="IntestazioneCarattere"/>
    <w:uiPriority w:val="99"/>
    <w:unhideWhenUsed/>
    <w:rsid w:val="003F2292"/>
    <w:pPr>
      <w:tabs>
        <w:tab w:val="center" w:pos="4819"/>
        <w:tab w:val="right" w:pos="9638"/>
      </w:tabs>
    </w:pPr>
  </w:style>
  <w:style w:type="character" w:customStyle="1" w:styleId="IntestazioneCarattere">
    <w:name w:val="Intestazione Carattere"/>
    <w:basedOn w:val="Carpredefinitoparagrafo"/>
    <w:link w:val="Intestazione"/>
    <w:uiPriority w:val="99"/>
    <w:rsid w:val="003F2292"/>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546805">
      <w:bodyDiv w:val="1"/>
      <w:marLeft w:val="0"/>
      <w:marRight w:val="0"/>
      <w:marTop w:val="0"/>
      <w:marBottom w:val="0"/>
      <w:divBdr>
        <w:top w:val="none" w:sz="0" w:space="0" w:color="auto"/>
        <w:left w:val="none" w:sz="0" w:space="0" w:color="auto"/>
        <w:bottom w:val="none" w:sz="0" w:space="0" w:color="auto"/>
        <w:right w:val="none" w:sz="0" w:space="0" w:color="auto"/>
      </w:divBdr>
    </w:div>
    <w:div w:id="162210062">
      <w:bodyDiv w:val="1"/>
      <w:marLeft w:val="0"/>
      <w:marRight w:val="0"/>
      <w:marTop w:val="0"/>
      <w:marBottom w:val="0"/>
      <w:divBdr>
        <w:top w:val="none" w:sz="0" w:space="0" w:color="auto"/>
        <w:left w:val="none" w:sz="0" w:space="0" w:color="auto"/>
        <w:bottom w:val="none" w:sz="0" w:space="0" w:color="auto"/>
        <w:right w:val="none" w:sz="0" w:space="0" w:color="auto"/>
      </w:divBdr>
    </w:div>
    <w:div w:id="292173113">
      <w:bodyDiv w:val="1"/>
      <w:marLeft w:val="0"/>
      <w:marRight w:val="0"/>
      <w:marTop w:val="0"/>
      <w:marBottom w:val="0"/>
      <w:divBdr>
        <w:top w:val="none" w:sz="0" w:space="0" w:color="auto"/>
        <w:left w:val="none" w:sz="0" w:space="0" w:color="auto"/>
        <w:bottom w:val="none" w:sz="0" w:space="0" w:color="auto"/>
        <w:right w:val="none" w:sz="0" w:space="0" w:color="auto"/>
      </w:divBdr>
    </w:div>
    <w:div w:id="407003990">
      <w:bodyDiv w:val="1"/>
      <w:marLeft w:val="0"/>
      <w:marRight w:val="0"/>
      <w:marTop w:val="0"/>
      <w:marBottom w:val="0"/>
      <w:divBdr>
        <w:top w:val="none" w:sz="0" w:space="0" w:color="auto"/>
        <w:left w:val="none" w:sz="0" w:space="0" w:color="auto"/>
        <w:bottom w:val="none" w:sz="0" w:space="0" w:color="auto"/>
        <w:right w:val="none" w:sz="0" w:space="0" w:color="auto"/>
      </w:divBdr>
    </w:div>
    <w:div w:id="474446623">
      <w:bodyDiv w:val="1"/>
      <w:marLeft w:val="0"/>
      <w:marRight w:val="0"/>
      <w:marTop w:val="0"/>
      <w:marBottom w:val="0"/>
      <w:divBdr>
        <w:top w:val="none" w:sz="0" w:space="0" w:color="auto"/>
        <w:left w:val="none" w:sz="0" w:space="0" w:color="auto"/>
        <w:bottom w:val="none" w:sz="0" w:space="0" w:color="auto"/>
        <w:right w:val="none" w:sz="0" w:space="0" w:color="auto"/>
      </w:divBdr>
      <w:divsChild>
        <w:div w:id="1406562844">
          <w:marLeft w:val="0"/>
          <w:marRight w:val="75"/>
          <w:marTop w:val="0"/>
          <w:marBottom w:val="0"/>
          <w:divBdr>
            <w:top w:val="none" w:sz="0" w:space="0" w:color="auto"/>
            <w:left w:val="none" w:sz="0" w:space="0" w:color="auto"/>
            <w:bottom w:val="none" w:sz="0" w:space="0" w:color="auto"/>
            <w:right w:val="none" w:sz="0" w:space="0" w:color="auto"/>
          </w:divBdr>
        </w:div>
        <w:div w:id="1279334850">
          <w:marLeft w:val="0"/>
          <w:marRight w:val="75"/>
          <w:marTop w:val="0"/>
          <w:marBottom w:val="0"/>
          <w:divBdr>
            <w:top w:val="none" w:sz="0" w:space="0" w:color="auto"/>
            <w:left w:val="none" w:sz="0" w:space="0" w:color="auto"/>
            <w:bottom w:val="none" w:sz="0" w:space="0" w:color="auto"/>
            <w:right w:val="none" w:sz="0" w:space="0" w:color="auto"/>
          </w:divBdr>
        </w:div>
        <w:div w:id="833107085">
          <w:marLeft w:val="0"/>
          <w:marRight w:val="75"/>
          <w:marTop w:val="0"/>
          <w:marBottom w:val="0"/>
          <w:divBdr>
            <w:top w:val="none" w:sz="0" w:space="0" w:color="auto"/>
            <w:left w:val="none" w:sz="0" w:space="0" w:color="auto"/>
            <w:bottom w:val="none" w:sz="0" w:space="0" w:color="auto"/>
            <w:right w:val="none" w:sz="0" w:space="0" w:color="auto"/>
          </w:divBdr>
        </w:div>
      </w:divsChild>
    </w:div>
    <w:div w:id="512652965">
      <w:bodyDiv w:val="1"/>
      <w:marLeft w:val="0"/>
      <w:marRight w:val="0"/>
      <w:marTop w:val="0"/>
      <w:marBottom w:val="0"/>
      <w:divBdr>
        <w:top w:val="none" w:sz="0" w:space="0" w:color="auto"/>
        <w:left w:val="none" w:sz="0" w:space="0" w:color="auto"/>
        <w:bottom w:val="none" w:sz="0" w:space="0" w:color="auto"/>
        <w:right w:val="none" w:sz="0" w:space="0" w:color="auto"/>
      </w:divBdr>
    </w:div>
    <w:div w:id="605583239">
      <w:bodyDiv w:val="1"/>
      <w:marLeft w:val="0"/>
      <w:marRight w:val="0"/>
      <w:marTop w:val="0"/>
      <w:marBottom w:val="0"/>
      <w:divBdr>
        <w:top w:val="none" w:sz="0" w:space="0" w:color="auto"/>
        <w:left w:val="none" w:sz="0" w:space="0" w:color="auto"/>
        <w:bottom w:val="none" w:sz="0" w:space="0" w:color="auto"/>
        <w:right w:val="none" w:sz="0" w:space="0" w:color="auto"/>
      </w:divBdr>
    </w:div>
    <w:div w:id="692850071">
      <w:bodyDiv w:val="1"/>
      <w:marLeft w:val="0"/>
      <w:marRight w:val="0"/>
      <w:marTop w:val="0"/>
      <w:marBottom w:val="0"/>
      <w:divBdr>
        <w:top w:val="none" w:sz="0" w:space="0" w:color="auto"/>
        <w:left w:val="none" w:sz="0" w:space="0" w:color="auto"/>
        <w:bottom w:val="none" w:sz="0" w:space="0" w:color="auto"/>
        <w:right w:val="none" w:sz="0" w:space="0" w:color="auto"/>
      </w:divBdr>
    </w:div>
    <w:div w:id="719092934">
      <w:bodyDiv w:val="1"/>
      <w:marLeft w:val="0"/>
      <w:marRight w:val="0"/>
      <w:marTop w:val="0"/>
      <w:marBottom w:val="0"/>
      <w:divBdr>
        <w:top w:val="none" w:sz="0" w:space="0" w:color="auto"/>
        <w:left w:val="none" w:sz="0" w:space="0" w:color="auto"/>
        <w:bottom w:val="none" w:sz="0" w:space="0" w:color="auto"/>
        <w:right w:val="none" w:sz="0" w:space="0" w:color="auto"/>
      </w:divBdr>
    </w:div>
    <w:div w:id="756638888">
      <w:bodyDiv w:val="1"/>
      <w:marLeft w:val="0"/>
      <w:marRight w:val="0"/>
      <w:marTop w:val="0"/>
      <w:marBottom w:val="0"/>
      <w:divBdr>
        <w:top w:val="none" w:sz="0" w:space="0" w:color="auto"/>
        <w:left w:val="none" w:sz="0" w:space="0" w:color="auto"/>
        <w:bottom w:val="none" w:sz="0" w:space="0" w:color="auto"/>
        <w:right w:val="none" w:sz="0" w:space="0" w:color="auto"/>
      </w:divBdr>
    </w:div>
    <w:div w:id="832179450">
      <w:bodyDiv w:val="1"/>
      <w:marLeft w:val="0"/>
      <w:marRight w:val="0"/>
      <w:marTop w:val="0"/>
      <w:marBottom w:val="0"/>
      <w:divBdr>
        <w:top w:val="none" w:sz="0" w:space="0" w:color="auto"/>
        <w:left w:val="none" w:sz="0" w:space="0" w:color="auto"/>
        <w:bottom w:val="none" w:sz="0" w:space="0" w:color="auto"/>
        <w:right w:val="none" w:sz="0" w:space="0" w:color="auto"/>
      </w:divBdr>
    </w:div>
    <w:div w:id="939065613">
      <w:bodyDiv w:val="1"/>
      <w:marLeft w:val="0"/>
      <w:marRight w:val="0"/>
      <w:marTop w:val="0"/>
      <w:marBottom w:val="0"/>
      <w:divBdr>
        <w:top w:val="none" w:sz="0" w:space="0" w:color="auto"/>
        <w:left w:val="none" w:sz="0" w:space="0" w:color="auto"/>
        <w:bottom w:val="none" w:sz="0" w:space="0" w:color="auto"/>
        <w:right w:val="none" w:sz="0" w:space="0" w:color="auto"/>
      </w:divBdr>
    </w:div>
    <w:div w:id="959530347">
      <w:bodyDiv w:val="1"/>
      <w:marLeft w:val="0"/>
      <w:marRight w:val="0"/>
      <w:marTop w:val="0"/>
      <w:marBottom w:val="0"/>
      <w:divBdr>
        <w:top w:val="none" w:sz="0" w:space="0" w:color="auto"/>
        <w:left w:val="none" w:sz="0" w:space="0" w:color="auto"/>
        <w:bottom w:val="none" w:sz="0" w:space="0" w:color="auto"/>
        <w:right w:val="none" w:sz="0" w:space="0" w:color="auto"/>
      </w:divBdr>
    </w:div>
    <w:div w:id="1086028793">
      <w:bodyDiv w:val="1"/>
      <w:marLeft w:val="0"/>
      <w:marRight w:val="0"/>
      <w:marTop w:val="0"/>
      <w:marBottom w:val="0"/>
      <w:divBdr>
        <w:top w:val="none" w:sz="0" w:space="0" w:color="auto"/>
        <w:left w:val="none" w:sz="0" w:space="0" w:color="auto"/>
        <w:bottom w:val="none" w:sz="0" w:space="0" w:color="auto"/>
        <w:right w:val="none" w:sz="0" w:space="0" w:color="auto"/>
      </w:divBdr>
    </w:div>
    <w:div w:id="1122308405">
      <w:bodyDiv w:val="1"/>
      <w:marLeft w:val="0"/>
      <w:marRight w:val="0"/>
      <w:marTop w:val="0"/>
      <w:marBottom w:val="0"/>
      <w:divBdr>
        <w:top w:val="none" w:sz="0" w:space="0" w:color="auto"/>
        <w:left w:val="none" w:sz="0" w:space="0" w:color="auto"/>
        <w:bottom w:val="none" w:sz="0" w:space="0" w:color="auto"/>
        <w:right w:val="none" w:sz="0" w:space="0" w:color="auto"/>
      </w:divBdr>
    </w:div>
    <w:div w:id="1144808945">
      <w:bodyDiv w:val="1"/>
      <w:marLeft w:val="0"/>
      <w:marRight w:val="0"/>
      <w:marTop w:val="0"/>
      <w:marBottom w:val="0"/>
      <w:divBdr>
        <w:top w:val="none" w:sz="0" w:space="0" w:color="auto"/>
        <w:left w:val="none" w:sz="0" w:space="0" w:color="auto"/>
        <w:bottom w:val="none" w:sz="0" w:space="0" w:color="auto"/>
        <w:right w:val="none" w:sz="0" w:space="0" w:color="auto"/>
      </w:divBdr>
    </w:div>
    <w:div w:id="1184710606">
      <w:bodyDiv w:val="1"/>
      <w:marLeft w:val="0"/>
      <w:marRight w:val="0"/>
      <w:marTop w:val="0"/>
      <w:marBottom w:val="0"/>
      <w:divBdr>
        <w:top w:val="none" w:sz="0" w:space="0" w:color="auto"/>
        <w:left w:val="none" w:sz="0" w:space="0" w:color="auto"/>
        <w:bottom w:val="none" w:sz="0" w:space="0" w:color="auto"/>
        <w:right w:val="none" w:sz="0" w:space="0" w:color="auto"/>
      </w:divBdr>
    </w:div>
    <w:div w:id="1195264360">
      <w:bodyDiv w:val="1"/>
      <w:marLeft w:val="0"/>
      <w:marRight w:val="0"/>
      <w:marTop w:val="0"/>
      <w:marBottom w:val="0"/>
      <w:divBdr>
        <w:top w:val="none" w:sz="0" w:space="0" w:color="auto"/>
        <w:left w:val="none" w:sz="0" w:space="0" w:color="auto"/>
        <w:bottom w:val="none" w:sz="0" w:space="0" w:color="auto"/>
        <w:right w:val="none" w:sz="0" w:space="0" w:color="auto"/>
      </w:divBdr>
    </w:div>
    <w:div w:id="1326977063">
      <w:bodyDiv w:val="1"/>
      <w:marLeft w:val="0"/>
      <w:marRight w:val="0"/>
      <w:marTop w:val="0"/>
      <w:marBottom w:val="0"/>
      <w:divBdr>
        <w:top w:val="none" w:sz="0" w:space="0" w:color="auto"/>
        <w:left w:val="none" w:sz="0" w:space="0" w:color="auto"/>
        <w:bottom w:val="none" w:sz="0" w:space="0" w:color="auto"/>
        <w:right w:val="none" w:sz="0" w:space="0" w:color="auto"/>
      </w:divBdr>
    </w:div>
    <w:div w:id="1332753484">
      <w:bodyDiv w:val="1"/>
      <w:marLeft w:val="0"/>
      <w:marRight w:val="0"/>
      <w:marTop w:val="0"/>
      <w:marBottom w:val="0"/>
      <w:divBdr>
        <w:top w:val="none" w:sz="0" w:space="0" w:color="auto"/>
        <w:left w:val="none" w:sz="0" w:space="0" w:color="auto"/>
        <w:bottom w:val="none" w:sz="0" w:space="0" w:color="auto"/>
        <w:right w:val="none" w:sz="0" w:space="0" w:color="auto"/>
      </w:divBdr>
    </w:div>
    <w:div w:id="1351950736">
      <w:bodyDiv w:val="1"/>
      <w:marLeft w:val="0"/>
      <w:marRight w:val="0"/>
      <w:marTop w:val="0"/>
      <w:marBottom w:val="0"/>
      <w:divBdr>
        <w:top w:val="none" w:sz="0" w:space="0" w:color="auto"/>
        <w:left w:val="none" w:sz="0" w:space="0" w:color="auto"/>
        <w:bottom w:val="none" w:sz="0" w:space="0" w:color="auto"/>
        <w:right w:val="none" w:sz="0" w:space="0" w:color="auto"/>
      </w:divBdr>
    </w:div>
    <w:div w:id="1384983008">
      <w:bodyDiv w:val="1"/>
      <w:marLeft w:val="0"/>
      <w:marRight w:val="0"/>
      <w:marTop w:val="0"/>
      <w:marBottom w:val="0"/>
      <w:divBdr>
        <w:top w:val="none" w:sz="0" w:space="0" w:color="auto"/>
        <w:left w:val="none" w:sz="0" w:space="0" w:color="auto"/>
        <w:bottom w:val="none" w:sz="0" w:space="0" w:color="auto"/>
        <w:right w:val="none" w:sz="0" w:space="0" w:color="auto"/>
      </w:divBdr>
    </w:div>
    <w:div w:id="1452476854">
      <w:bodyDiv w:val="1"/>
      <w:marLeft w:val="0"/>
      <w:marRight w:val="0"/>
      <w:marTop w:val="0"/>
      <w:marBottom w:val="0"/>
      <w:divBdr>
        <w:top w:val="none" w:sz="0" w:space="0" w:color="auto"/>
        <w:left w:val="none" w:sz="0" w:space="0" w:color="auto"/>
        <w:bottom w:val="none" w:sz="0" w:space="0" w:color="auto"/>
        <w:right w:val="none" w:sz="0" w:space="0" w:color="auto"/>
      </w:divBdr>
    </w:div>
    <w:div w:id="1488089060">
      <w:bodyDiv w:val="1"/>
      <w:marLeft w:val="0"/>
      <w:marRight w:val="0"/>
      <w:marTop w:val="0"/>
      <w:marBottom w:val="0"/>
      <w:divBdr>
        <w:top w:val="none" w:sz="0" w:space="0" w:color="auto"/>
        <w:left w:val="none" w:sz="0" w:space="0" w:color="auto"/>
        <w:bottom w:val="none" w:sz="0" w:space="0" w:color="auto"/>
        <w:right w:val="none" w:sz="0" w:space="0" w:color="auto"/>
      </w:divBdr>
    </w:div>
    <w:div w:id="1557932392">
      <w:bodyDiv w:val="1"/>
      <w:marLeft w:val="0"/>
      <w:marRight w:val="0"/>
      <w:marTop w:val="0"/>
      <w:marBottom w:val="0"/>
      <w:divBdr>
        <w:top w:val="none" w:sz="0" w:space="0" w:color="auto"/>
        <w:left w:val="none" w:sz="0" w:space="0" w:color="auto"/>
        <w:bottom w:val="none" w:sz="0" w:space="0" w:color="auto"/>
        <w:right w:val="none" w:sz="0" w:space="0" w:color="auto"/>
      </w:divBdr>
    </w:div>
    <w:div w:id="1620532272">
      <w:bodyDiv w:val="1"/>
      <w:marLeft w:val="0"/>
      <w:marRight w:val="0"/>
      <w:marTop w:val="0"/>
      <w:marBottom w:val="0"/>
      <w:divBdr>
        <w:top w:val="none" w:sz="0" w:space="0" w:color="auto"/>
        <w:left w:val="none" w:sz="0" w:space="0" w:color="auto"/>
        <w:bottom w:val="none" w:sz="0" w:space="0" w:color="auto"/>
        <w:right w:val="none" w:sz="0" w:space="0" w:color="auto"/>
      </w:divBdr>
    </w:div>
    <w:div w:id="1652716000">
      <w:bodyDiv w:val="1"/>
      <w:marLeft w:val="0"/>
      <w:marRight w:val="0"/>
      <w:marTop w:val="0"/>
      <w:marBottom w:val="0"/>
      <w:divBdr>
        <w:top w:val="none" w:sz="0" w:space="0" w:color="auto"/>
        <w:left w:val="none" w:sz="0" w:space="0" w:color="auto"/>
        <w:bottom w:val="none" w:sz="0" w:space="0" w:color="auto"/>
        <w:right w:val="none" w:sz="0" w:space="0" w:color="auto"/>
      </w:divBdr>
      <w:divsChild>
        <w:div w:id="56975903">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662074938">
      <w:bodyDiv w:val="1"/>
      <w:marLeft w:val="0"/>
      <w:marRight w:val="0"/>
      <w:marTop w:val="0"/>
      <w:marBottom w:val="0"/>
      <w:divBdr>
        <w:top w:val="none" w:sz="0" w:space="0" w:color="auto"/>
        <w:left w:val="none" w:sz="0" w:space="0" w:color="auto"/>
        <w:bottom w:val="none" w:sz="0" w:space="0" w:color="auto"/>
        <w:right w:val="none" w:sz="0" w:space="0" w:color="auto"/>
      </w:divBdr>
    </w:div>
    <w:div w:id="1677003202">
      <w:bodyDiv w:val="1"/>
      <w:marLeft w:val="0"/>
      <w:marRight w:val="0"/>
      <w:marTop w:val="0"/>
      <w:marBottom w:val="0"/>
      <w:divBdr>
        <w:top w:val="none" w:sz="0" w:space="0" w:color="auto"/>
        <w:left w:val="none" w:sz="0" w:space="0" w:color="auto"/>
        <w:bottom w:val="none" w:sz="0" w:space="0" w:color="auto"/>
        <w:right w:val="none" w:sz="0" w:space="0" w:color="auto"/>
      </w:divBdr>
    </w:div>
    <w:div w:id="1696539863">
      <w:bodyDiv w:val="1"/>
      <w:marLeft w:val="0"/>
      <w:marRight w:val="0"/>
      <w:marTop w:val="0"/>
      <w:marBottom w:val="0"/>
      <w:divBdr>
        <w:top w:val="none" w:sz="0" w:space="0" w:color="auto"/>
        <w:left w:val="none" w:sz="0" w:space="0" w:color="auto"/>
        <w:bottom w:val="none" w:sz="0" w:space="0" w:color="auto"/>
        <w:right w:val="none" w:sz="0" w:space="0" w:color="auto"/>
      </w:divBdr>
    </w:div>
    <w:div w:id="1771585275">
      <w:bodyDiv w:val="1"/>
      <w:marLeft w:val="0"/>
      <w:marRight w:val="0"/>
      <w:marTop w:val="0"/>
      <w:marBottom w:val="0"/>
      <w:divBdr>
        <w:top w:val="none" w:sz="0" w:space="0" w:color="auto"/>
        <w:left w:val="none" w:sz="0" w:space="0" w:color="auto"/>
        <w:bottom w:val="none" w:sz="0" w:space="0" w:color="auto"/>
        <w:right w:val="none" w:sz="0" w:space="0" w:color="auto"/>
      </w:divBdr>
    </w:div>
    <w:div w:id="1778333934">
      <w:bodyDiv w:val="1"/>
      <w:marLeft w:val="0"/>
      <w:marRight w:val="0"/>
      <w:marTop w:val="0"/>
      <w:marBottom w:val="0"/>
      <w:divBdr>
        <w:top w:val="none" w:sz="0" w:space="0" w:color="auto"/>
        <w:left w:val="none" w:sz="0" w:space="0" w:color="auto"/>
        <w:bottom w:val="none" w:sz="0" w:space="0" w:color="auto"/>
        <w:right w:val="none" w:sz="0" w:space="0" w:color="auto"/>
      </w:divBdr>
    </w:div>
    <w:div w:id="1786191102">
      <w:bodyDiv w:val="1"/>
      <w:marLeft w:val="0"/>
      <w:marRight w:val="0"/>
      <w:marTop w:val="0"/>
      <w:marBottom w:val="0"/>
      <w:divBdr>
        <w:top w:val="none" w:sz="0" w:space="0" w:color="auto"/>
        <w:left w:val="none" w:sz="0" w:space="0" w:color="auto"/>
        <w:bottom w:val="none" w:sz="0" w:space="0" w:color="auto"/>
        <w:right w:val="none" w:sz="0" w:space="0" w:color="auto"/>
      </w:divBdr>
    </w:div>
    <w:div w:id="1875271034">
      <w:bodyDiv w:val="1"/>
      <w:marLeft w:val="0"/>
      <w:marRight w:val="0"/>
      <w:marTop w:val="0"/>
      <w:marBottom w:val="0"/>
      <w:divBdr>
        <w:top w:val="none" w:sz="0" w:space="0" w:color="auto"/>
        <w:left w:val="none" w:sz="0" w:space="0" w:color="auto"/>
        <w:bottom w:val="none" w:sz="0" w:space="0" w:color="auto"/>
        <w:right w:val="none" w:sz="0" w:space="0" w:color="auto"/>
      </w:divBdr>
    </w:div>
    <w:div w:id="1903782916">
      <w:bodyDiv w:val="1"/>
      <w:marLeft w:val="0"/>
      <w:marRight w:val="0"/>
      <w:marTop w:val="0"/>
      <w:marBottom w:val="0"/>
      <w:divBdr>
        <w:top w:val="none" w:sz="0" w:space="0" w:color="auto"/>
        <w:left w:val="none" w:sz="0" w:space="0" w:color="auto"/>
        <w:bottom w:val="none" w:sz="0" w:space="0" w:color="auto"/>
        <w:right w:val="none" w:sz="0" w:space="0" w:color="auto"/>
      </w:divBdr>
    </w:div>
    <w:div w:id="1920676270">
      <w:bodyDiv w:val="1"/>
      <w:marLeft w:val="0"/>
      <w:marRight w:val="0"/>
      <w:marTop w:val="0"/>
      <w:marBottom w:val="0"/>
      <w:divBdr>
        <w:top w:val="none" w:sz="0" w:space="0" w:color="auto"/>
        <w:left w:val="none" w:sz="0" w:space="0" w:color="auto"/>
        <w:bottom w:val="none" w:sz="0" w:space="0" w:color="auto"/>
        <w:right w:val="none" w:sz="0" w:space="0" w:color="auto"/>
      </w:divBdr>
    </w:div>
    <w:div w:id="1941178047">
      <w:bodyDiv w:val="1"/>
      <w:marLeft w:val="0"/>
      <w:marRight w:val="0"/>
      <w:marTop w:val="0"/>
      <w:marBottom w:val="0"/>
      <w:divBdr>
        <w:top w:val="none" w:sz="0" w:space="0" w:color="auto"/>
        <w:left w:val="none" w:sz="0" w:space="0" w:color="auto"/>
        <w:bottom w:val="none" w:sz="0" w:space="0" w:color="auto"/>
        <w:right w:val="none" w:sz="0" w:space="0" w:color="auto"/>
      </w:divBdr>
    </w:div>
    <w:div w:id="2006546424">
      <w:bodyDiv w:val="1"/>
      <w:marLeft w:val="0"/>
      <w:marRight w:val="0"/>
      <w:marTop w:val="0"/>
      <w:marBottom w:val="0"/>
      <w:divBdr>
        <w:top w:val="none" w:sz="0" w:space="0" w:color="auto"/>
        <w:left w:val="none" w:sz="0" w:space="0" w:color="auto"/>
        <w:bottom w:val="none" w:sz="0" w:space="0" w:color="auto"/>
        <w:right w:val="none" w:sz="0" w:space="0" w:color="auto"/>
      </w:divBdr>
    </w:div>
    <w:div w:id="2008089846">
      <w:bodyDiv w:val="1"/>
      <w:marLeft w:val="0"/>
      <w:marRight w:val="0"/>
      <w:marTop w:val="0"/>
      <w:marBottom w:val="0"/>
      <w:divBdr>
        <w:top w:val="none" w:sz="0" w:space="0" w:color="auto"/>
        <w:left w:val="none" w:sz="0" w:space="0" w:color="auto"/>
        <w:bottom w:val="none" w:sz="0" w:space="0" w:color="auto"/>
        <w:right w:val="none" w:sz="0" w:space="0" w:color="auto"/>
      </w:divBdr>
      <w:divsChild>
        <w:div w:id="391386350">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2061905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16/j.irfa.2017.12.010" TargetMode="External"/><Relationship Id="rId18" Type="http://schemas.openxmlformats.org/officeDocument/2006/relationships/hyperlink" Target="https://doi.org/10.3969/j.issn.1005-9202.2020.10.054" TargetMode="External"/><Relationship Id="rId26" Type="http://schemas.openxmlformats.org/officeDocument/2006/relationships/hyperlink" Target="https://www.pewtrusts.org/en/research-and-analysis/reports/2015/07/the-complex-story-of-american-debt" TargetMode="External"/><Relationship Id="rId39" Type="http://schemas.openxmlformats.org/officeDocument/2006/relationships/theme" Target="theme/theme1.xml"/><Relationship Id="rId21" Type="http://schemas.openxmlformats.org/officeDocument/2006/relationships/hyperlink" Target="https://ec.europa.eu/eurostat" TargetMode="External"/><Relationship Id="rId34" Type="http://schemas.openxmlformats.org/officeDocument/2006/relationships/hyperlink" Target="https://ideas.repec.org/p/fip/fedlwp/1994-003.html" TargetMode="External"/><Relationship Id="rId7" Type="http://schemas.openxmlformats.org/officeDocument/2006/relationships/endnotes" Target="endnotes.xml"/><Relationship Id="rId12" Type="http://schemas.openxmlformats.org/officeDocument/2006/relationships/hyperlink" Target="https://doi.org/10.1111/j.1470-6431.2009.00831.x" TargetMode="External"/><Relationship Id="rId17" Type="http://schemas.openxmlformats.org/officeDocument/2006/relationships/hyperlink" Target="https://doi.org/10.1016/j.chieco.2019.04.007" TargetMode="External"/><Relationship Id="rId25" Type="http://schemas.openxmlformats.org/officeDocument/2006/relationships/hyperlink" Target="https://doi.org/10.1007/s11573-008-0067-x" TargetMode="External"/><Relationship Id="rId33" Type="http://schemas.openxmlformats.org/officeDocument/2006/relationships/hyperlink" Target="https://doi.org/10.1016/j.pacfin.2007.04.004"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oi.org/10.1177/0042098014529343" TargetMode="External"/><Relationship Id="rId20" Type="http://schemas.openxmlformats.org/officeDocument/2006/relationships/hyperlink" Target="https://doi.org/10.1057/palgrave.fsm.4770205" TargetMode="External"/><Relationship Id="rId29" Type="http://schemas.openxmlformats.org/officeDocument/2006/relationships/hyperlink" Target="http://dx.doi.org/10.1108/ITP-10-2018-049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2307/2109921" TargetMode="External"/><Relationship Id="rId24" Type="http://schemas.openxmlformats.org/officeDocument/2006/relationships/hyperlink" Target="https://doi.org/10.3390/ijerph15122843" TargetMode="External"/><Relationship Id="rId32" Type="http://schemas.openxmlformats.org/officeDocument/2006/relationships/hyperlink" Target="http://dx.doi.org/10.5430/rwe.v14n1p1" TargetMode="External"/><Relationship Id="rId37"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doi.org/10.1057/fsm.2009.10" TargetMode="External"/><Relationship Id="rId23" Type="http://schemas.openxmlformats.org/officeDocument/2006/relationships/hyperlink" Target="https://doi.org/10.1016/j.pacfin.2016.11.005" TargetMode="External"/><Relationship Id="rId28" Type="http://schemas.openxmlformats.org/officeDocument/2006/relationships/hyperlink" Target="https://doi.org/10.1007/s10551-006-9105-6" TargetMode="External"/><Relationship Id="rId36" Type="http://schemas.openxmlformats.org/officeDocument/2006/relationships/footer" Target="footer1.xml"/><Relationship Id="rId10" Type="http://schemas.openxmlformats.org/officeDocument/2006/relationships/hyperlink" Target="https://doi.org/10.1111/j.1745-6606.2010.01178.x" TargetMode="External"/><Relationship Id="rId19" Type="http://schemas.openxmlformats.org/officeDocument/2006/relationships/hyperlink" Target="https://doi.org/10.2139/ssrn.3917685" TargetMode="External"/><Relationship Id="rId31" Type="http://schemas.openxmlformats.org/officeDocument/2006/relationships/hyperlink" Target="https://www.who.int/ageing/publications/world-report-2015/en/" TargetMode="External"/><Relationship Id="rId4" Type="http://schemas.openxmlformats.org/officeDocument/2006/relationships/settings" Target="settings.xml"/><Relationship Id="rId9" Type="http://schemas.openxmlformats.org/officeDocument/2006/relationships/hyperlink" Target="https://doi.org/10.1086/296631" TargetMode="External"/><Relationship Id="rId14" Type="http://schemas.openxmlformats.org/officeDocument/2006/relationships/hyperlink" Target="https://doi.org/10.1111/j.1540-6261.2006.00883.x" TargetMode="External"/><Relationship Id="rId22" Type="http://schemas.openxmlformats.org/officeDocument/2006/relationships/hyperlink" Target="https://www.istat.it" TargetMode="External"/><Relationship Id="rId27" Type="http://schemas.openxmlformats.org/officeDocument/2006/relationships/hyperlink" Target="https://pubmed.ncbi.nlm.nih.gov/25112219/" TargetMode="External"/><Relationship Id="rId30" Type="http://schemas.openxmlformats.org/officeDocument/2006/relationships/hyperlink" Target="https://www.un.org/development/desa/pd/" TargetMode="External"/><Relationship Id="rId35" Type="http://schemas.openxmlformats.org/officeDocument/2006/relationships/hyperlink" Target="https://doi.org/10.2308/JFAR-2019-505" TargetMode="External"/><Relationship Id="rId8" Type="http://schemas.openxmlformats.org/officeDocument/2006/relationships/hyperlink" Target="mailto:barbara.fidanza@unimc.it" TargetMode="External"/><Relationship Id="rId3"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464308-D984-4351-B325-5B0D695C28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12</Pages>
  <Words>8651</Words>
  <Characters>49316</Characters>
  <Application>Microsoft Office Word</Application>
  <DocSecurity>0</DocSecurity>
  <Lines>410</Lines>
  <Paragraphs>115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57852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barbara.fidanza@unimc.it</dc:creator>
  <cp:keywords/>
  <dc:description/>
  <cp:lastModifiedBy>Barbara Fidanza</cp:lastModifiedBy>
  <cp:revision>3</cp:revision>
  <dcterms:created xsi:type="dcterms:W3CDTF">2025-06-30T08:36:00Z</dcterms:created>
  <dcterms:modified xsi:type="dcterms:W3CDTF">2025-06-30T08:38:00Z</dcterms:modified>
</cp:coreProperties>
</file>