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C4ED627" w14:textId="30351C1C" w:rsidR="00583339" w:rsidRPr="00583339" w:rsidRDefault="00CF7F8C" w:rsidP="00583339">
      <w:pPr>
        <w:spacing w:after="80"/>
        <w:jc w:val="center"/>
        <w:rPr>
          <w:rFonts w:ascii="Calibri" w:hAnsi="Calibri" w:cs="Calibri"/>
          <w:b/>
          <w:bCs/>
          <w:i/>
          <w:iCs/>
          <w:sz w:val="32"/>
          <w:szCs w:val="32"/>
        </w:rPr>
      </w:pPr>
      <w:r w:rsidRPr="00583339">
        <w:rPr>
          <w:rFonts w:ascii="Calibri" w:hAnsi="Calibri" w:cs="Calibri"/>
          <w:b/>
          <w:bCs/>
          <w:i/>
          <w:iCs/>
          <w:sz w:val="32"/>
          <w:szCs w:val="32"/>
        </w:rPr>
        <w:t>Communicative accountability, ontological boundaries,</w:t>
      </w:r>
    </w:p>
    <w:p w14:paraId="7FB39D10" w14:textId="1F160F1F" w:rsidR="00ED5716" w:rsidRPr="00583339" w:rsidRDefault="00CF7F8C" w:rsidP="00583339">
      <w:pPr>
        <w:spacing w:after="80"/>
        <w:jc w:val="center"/>
        <w:rPr>
          <w:rFonts w:ascii="Calibri" w:hAnsi="Calibri" w:cs="Calibri"/>
          <w:b/>
          <w:bCs/>
          <w:sz w:val="28"/>
          <w:szCs w:val="28"/>
        </w:rPr>
      </w:pPr>
      <w:r w:rsidRPr="00583339">
        <w:rPr>
          <w:rFonts w:ascii="Calibri" w:hAnsi="Calibri" w:cs="Calibri"/>
          <w:b/>
          <w:bCs/>
          <w:i/>
          <w:iCs/>
          <w:sz w:val="32"/>
          <w:szCs w:val="32"/>
        </w:rPr>
        <w:t>and junction work in multi-system clinical environments</w:t>
      </w:r>
    </w:p>
    <w:p w14:paraId="289D7D1A" w14:textId="77777777" w:rsidR="00ED5716" w:rsidRPr="00583339" w:rsidRDefault="00ED5716" w:rsidP="00583339">
      <w:pPr>
        <w:spacing w:before="80"/>
        <w:jc w:val="both"/>
        <w:rPr>
          <w:rFonts w:ascii="Calibri" w:hAnsi="Calibri" w:cs="Calibri"/>
        </w:rPr>
      </w:pPr>
    </w:p>
    <w:p w14:paraId="46D256C0" w14:textId="77777777" w:rsidR="00ED5716" w:rsidRPr="00583339" w:rsidRDefault="00CF7F8C" w:rsidP="00583339">
      <w:pPr>
        <w:pStyle w:val="Heading1"/>
        <w:jc w:val="both"/>
        <w:rPr>
          <w:rFonts w:ascii="Calibri" w:hAnsi="Calibri" w:cs="Calibri"/>
        </w:rPr>
      </w:pPr>
      <w:r w:rsidRPr="00583339">
        <w:rPr>
          <w:rFonts w:ascii="Calibri" w:hAnsi="Calibri" w:cs="Calibri"/>
          <w:color w:val="C0392B"/>
        </w:rPr>
        <w:t>1.  The Trustworthy Governable Platform and its communicative grammar</w:t>
      </w:r>
    </w:p>
    <w:p w14:paraId="3F94CB9D" w14:textId="77777777" w:rsidR="00ED5716" w:rsidRPr="00583339" w:rsidRDefault="00CF7F8C" w:rsidP="00583339">
      <w:pPr>
        <w:spacing w:before="80" w:after="100" w:line="340" w:lineRule="auto"/>
        <w:jc w:val="both"/>
        <w:rPr>
          <w:rFonts w:ascii="Calibri" w:hAnsi="Calibri" w:cs="Calibri"/>
        </w:rPr>
      </w:pPr>
      <w:r w:rsidRPr="00583339">
        <w:rPr>
          <w:rFonts w:ascii="Calibri" w:hAnsi="Calibri" w:cs="Calibri"/>
        </w:rPr>
        <w:t>The Trustworthy Governable Platform (TGP) addresses a structural failure in the design of multi-party digital systems: the treatment of accountability as an afterthought. Conventional platforms and applications preserve information — messages, timestamps, identities — but not the institutional standing of the communicative acts through which responsibility is established (Martin, 2024). A message is recorded; what it authorised, under which mandate, and with what consequence, is not.</w:t>
      </w:r>
    </w:p>
    <w:p w14:paraId="4A54298A" w14:textId="77777777" w:rsidR="00ED5716" w:rsidRPr="00583339" w:rsidRDefault="00CF7F8C" w:rsidP="00583339">
      <w:pPr>
        <w:spacing w:before="80" w:after="100" w:line="340" w:lineRule="auto"/>
        <w:jc w:val="both"/>
        <w:rPr>
          <w:rFonts w:ascii="Calibri" w:hAnsi="Calibri" w:cs="Calibri"/>
        </w:rPr>
      </w:pPr>
      <w:r w:rsidRPr="00583339">
        <w:rPr>
          <w:rFonts w:ascii="Calibri" w:hAnsi="Calibri" w:cs="Calibri"/>
        </w:rPr>
        <w:t>TGP proposes a paradigm shift from data processing and distribution to what Martin calls Structured Communications: multi-party information exchange in the context of explicitly promulgated and agreed purposes, roles, norms and expectations. The core grammar consists of typed communicative acts — PROPOSE, ASSERT, APPROVE, DELEGATE, ACKNOWLEDGE, REJECT — each carrying actor identity, institutional role, mandate, object, and an explicit acknowledgement that creates or forecloses commitment.</w:t>
      </w:r>
    </w:p>
    <w:p w14:paraId="19CA755E" w14:textId="77777777" w:rsidR="00ED5716" w:rsidRPr="00583339" w:rsidRDefault="00CF7F8C" w:rsidP="00583339">
      <w:pPr>
        <w:spacing w:before="80" w:after="100" w:line="340" w:lineRule="auto"/>
        <w:jc w:val="both"/>
        <w:rPr>
          <w:rFonts w:ascii="Calibri" w:hAnsi="Calibri" w:cs="Calibri"/>
        </w:rPr>
      </w:pPr>
      <w:r w:rsidRPr="00583339">
        <w:rPr>
          <w:rFonts w:ascii="Calibri" w:hAnsi="Calibri" w:cs="Calibri"/>
        </w:rPr>
        <w:t>This grammar is grounded in the Language Action Perspective (Winograd &amp; Flores, 1986) and in the notion of contextual integrity (Nissenbaum): information should flow in ways that respect the norms of the context in which it was originally produced. TGP operationalises this as a systemic property — not a policy aspiration, but a code-level architectural commitment.</w:t>
      </w:r>
    </w:p>
    <w:p w14:paraId="07054FA6" w14:textId="77777777" w:rsidR="00ED5716" w:rsidRPr="00583339" w:rsidRDefault="00CF7F8C" w:rsidP="00583339">
      <w:pPr>
        <w:spacing w:before="80" w:after="100" w:line="340" w:lineRule="auto"/>
        <w:jc w:val="both"/>
        <w:rPr>
          <w:rFonts w:ascii="Calibri" w:hAnsi="Calibri" w:cs="Calibri"/>
        </w:rPr>
      </w:pPr>
      <w:r w:rsidRPr="00583339">
        <w:rPr>
          <w:rFonts w:ascii="Calibri" w:hAnsi="Calibri" w:cs="Calibri"/>
        </w:rPr>
        <w:t>The framework has been deployed in a first implementation in adult social care and is being extended to other multi-party, high-accountability environments. The present paper contributes to this extension by examining what happens when TGP's grammar encounters a concrete, empirically grounded case — and by identifying the structural gaps that the encounter reveals.</w:t>
      </w:r>
    </w:p>
    <w:p w14:paraId="71CD4521" w14:textId="77777777" w:rsidR="00ED5716" w:rsidRPr="00583339" w:rsidRDefault="00ED5716" w:rsidP="00583339">
      <w:pPr>
        <w:spacing w:before="160"/>
        <w:jc w:val="both"/>
        <w:rPr>
          <w:rFonts w:ascii="Calibri" w:hAnsi="Calibri" w:cs="Calibri"/>
        </w:rPr>
      </w:pPr>
    </w:p>
    <w:p w14:paraId="6AE1FB2C" w14:textId="77777777" w:rsidR="00ED5716" w:rsidRPr="00583339" w:rsidRDefault="00CF7F8C" w:rsidP="00583339">
      <w:pPr>
        <w:pStyle w:val="Heading1"/>
        <w:jc w:val="both"/>
        <w:rPr>
          <w:rFonts w:ascii="Calibri" w:hAnsi="Calibri" w:cs="Calibri"/>
        </w:rPr>
      </w:pPr>
      <w:r w:rsidRPr="00583339">
        <w:rPr>
          <w:rFonts w:ascii="Calibri" w:hAnsi="Calibri" w:cs="Calibri"/>
          <w:color w:val="C0392B"/>
        </w:rPr>
        <w:t>2.  What the grammar does not yet capture</w:t>
      </w:r>
    </w:p>
    <w:p w14:paraId="0B95EDCF" w14:textId="77777777" w:rsidR="00ED5716" w:rsidRPr="00583339" w:rsidRDefault="00CF7F8C" w:rsidP="00583339">
      <w:pPr>
        <w:spacing w:before="80" w:after="100" w:line="340" w:lineRule="auto"/>
        <w:jc w:val="both"/>
        <w:rPr>
          <w:rFonts w:ascii="Calibri" w:hAnsi="Calibri" w:cs="Calibri"/>
        </w:rPr>
      </w:pPr>
      <w:r w:rsidRPr="00583339">
        <w:rPr>
          <w:rFonts w:ascii="Calibri" w:hAnsi="Calibri" w:cs="Calibri"/>
        </w:rPr>
        <w:t>TGP's communicative grammar is designed for the moment of institutional action: the typed act, performed by an actor with a role, under a verifiable mandate, producing a traceable commitment. This design is both its strength and its current limit. Three structural gaps become visible when the framework is applied to complex, multi-system clinical environments.</w:t>
      </w:r>
    </w:p>
    <w:p w14:paraId="11D0E5FC" w14:textId="77777777" w:rsidR="00ED5716" w:rsidRPr="00583339" w:rsidRDefault="00CF7F8C" w:rsidP="00583339">
      <w:pPr>
        <w:spacing w:before="80" w:after="100" w:line="340" w:lineRule="auto"/>
        <w:jc w:val="both"/>
        <w:rPr>
          <w:rFonts w:ascii="Calibri" w:hAnsi="Calibri" w:cs="Calibri"/>
        </w:rPr>
      </w:pPr>
      <w:r w:rsidRPr="00583339">
        <w:rPr>
          <w:rFonts w:ascii="Calibri" w:hAnsi="Calibri" w:cs="Calibri"/>
        </w:rPr>
        <w:t xml:space="preserve">The first gap is the treatment of AI actants. TGP presupposes human actors with institutional roles. In contemporary healthcare environments, algorithmic systems — device dashboards, embedded AI, </w:t>
      </w:r>
      <w:r w:rsidRPr="00583339">
        <w:rPr>
          <w:rFonts w:ascii="Calibri" w:hAnsi="Calibri" w:cs="Calibri"/>
        </w:rPr>
        <w:lastRenderedPageBreak/>
        <w:t>risk-scoring tools — produce structured interpretations that precede and shape human communicative acts. These proto-acts are not neutral data: they carry embedded choices about normality, risk, and relevance. The current grammar has no vocabulary for the handoff between AI output and human act.</w:t>
      </w:r>
    </w:p>
    <w:p w14:paraId="1613A87A" w14:textId="77777777" w:rsidR="00ED5716" w:rsidRPr="00583339" w:rsidRDefault="00CF7F8C" w:rsidP="00583339">
      <w:pPr>
        <w:spacing w:before="80" w:after="100" w:line="340" w:lineRule="auto"/>
        <w:jc w:val="both"/>
        <w:rPr>
          <w:rFonts w:ascii="Calibri" w:hAnsi="Calibri" w:cs="Calibri"/>
        </w:rPr>
      </w:pPr>
      <w:r w:rsidRPr="00583339">
        <w:rPr>
          <w:rFonts w:ascii="Calibri" w:hAnsi="Calibri" w:cs="Calibri"/>
        </w:rPr>
        <w:t>The second gap is pre-communicative work. The grammar captures what happens when an actor performs an institutional act; it does not capture the work that makes the act possible — the interpretation, informal consultation, cross-system contextualisation, and professional judgement that must occur before a typed act can be meaningful. This work is real, skilled, and consequential; it is also architecturally invisible.</w:t>
      </w:r>
    </w:p>
    <w:p w14:paraId="0B32FF14" w14:textId="77777777" w:rsidR="00ED5716" w:rsidRPr="00583339" w:rsidRDefault="00CF7F8C" w:rsidP="00583339">
      <w:pPr>
        <w:spacing w:before="80" w:after="100" w:line="340" w:lineRule="auto"/>
        <w:jc w:val="both"/>
        <w:rPr>
          <w:rFonts w:ascii="Calibri" w:hAnsi="Calibri" w:cs="Calibri"/>
        </w:rPr>
      </w:pPr>
      <w:r w:rsidRPr="00583339">
        <w:rPr>
          <w:rFonts w:ascii="Calibri" w:hAnsi="Calibri" w:cs="Calibri"/>
        </w:rPr>
        <w:t>The third gap is invisible load. Where pre-communicative work concentrates around specific actors by virtue of accumulated competence, it generates a form of burden that is neither formally recognised nor redistributable through the current architecture. This is not merely an organisational problem: it is an accountability problem. If the conditions for communicative action are unjustly distributed, the accountability the communicative act is supposed to guarantee rests on an unjust foundation.</w:t>
      </w:r>
    </w:p>
    <w:p w14:paraId="3E7062EE" w14:textId="77777777" w:rsidR="00ED5716" w:rsidRPr="00583339" w:rsidRDefault="00CF7F8C" w:rsidP="00583339">
      <w:pPr>
        <w:spacing w:before="80" w:after="100" w:line="340" w:lineRule="auto"/>
        <w:jc w:val="both"/>
        <w:rPr>
          <w:rFonts w:ascii="Calibri" w:hAnsi="Calibri" w:cs="Calibri"/>
        </w:rPr>
      </w:pPr>
      <w:r w:rsidRPr="00583339">
        <w:rPr>
          <w:rFonts w:ascii="Calibri" w:hAnsi="Calibri" w:cs="Calibri"/>
        </w:rPr>
        <w:t>The cardiology ward in Rovereto, examined in the following section, makes all three gaps empirically visible and analytically tractable.</w:t>
      </w:r>
    </w:p>
    <w:p w14:paraId="789014EE" w14:textId="77777777" w:rsidR="00ED5716" w:rsidRPr="00583339" w:rsidRDefault="00ED5716" w:rsidP="00583339">
      <w:pPr>
        <w:spacing w:before="160"/>
        <w:jc w:val="both"/>
        <w:rPr>
          <w:rFonts w:ascii="Calibri" w:hAnsi="Calibri" w:cs="Calibri"/>
        </w:rPr>
      </w:pPr>
    </w:p>
    <w:p w14:paraId="4A7FF1CF" w14:textId="77777777" w:rsidR="00ED5716" w:rsidRPr="00583339" w:rsidRDefault="00CF7F8C" w:rsidP="00583339">
      <w:pPr>
        <w:pStyle w:val="Heading1"/>
        <w:jc w:val="both"/>
        <w:rPr>
          <w:rFonts w:ascii="Calibri" w:hAnsi="Calibri" w:cs="Calibri"/>
        </w:rPr>
      </w:pPr>
      <w:r w:rsidRPr="00583339">
        <w:rPr>
          <w:rFonts w:ascii="Calibri" w:hAnsi="Calibri" w:cs="Calibri"/>
          <w:color w:val="0F6E56"/>
        </w:rPr>
        <w:t>3.  The Rovereto case — a paradigmatic instance</w:t>
      </w:r>
    </w:p>
    <w:p w14:paraId="640B4753" w14:textId="77777777" w:rsidR="00ED5716" w:rsidRPr="00583339" w:rsidRDefault="00CF7F8C" w:rsidP="00583339">
      <w:pPr>
        <w:spacing w:before="80" w:after="100" w:line="340" w:lineRule="auto"/>
        <w:jc w:val="both"/>
        <w:rPr>
          <w:rFonts w:ascii="Calibri" w:hAnsi="Calibri" w:cs="Calibri"/>
        </w:rPr>
      </w:pPr>
      <w:r w:rsidRPr="00583339">
        <w:rPr>
          <w:rFonts w:ascii="Calibri" w:hAnsi="Calibri" w:cs="Calibri"/>
        </w:rPr>
        <w:t>A cardiology ward in Rovereto, Autonomous Province of Trento, manages patients with implanted cardiac devices remotely: ICDs, loop recorders, pacemakers. Data arrives through proprietary brand dashboards — Medtronic, Abbott, Boston Scientific — and must transit towards three distinct systems: the provincial SIO (Hospital Information System), the TreC (a regional Electronic Health Record with direct patient messaging), and the ward's internal electronic records. These three systems do not share a common communicative grammar. They were not designed to talk to each other. They are held together by people.</w:t>
      </w:r>
    </w:p>
    <w:p w14:paraId="1FBC3331" w14:textId="77777777" w:rsidR="00ED5716" w:rsidRPr="00583339" w:rsidRDefault="00CF7F8C" w:rsidP="00583339">
      <w:pPr>
        <w:pStyle w:val="Heading2"/>
        <w:jc w:val="both"/>
        <w:rPr>
          <w:rFonts w:ascii="Calibri" w:hAnsi="Calibri" w:cs="Calibri"/>
        </w:rPr>
      </w:pPr>
      <w:r w:rsidRPr="00583339">
        <w:rPr>
          <w:rFonts w:ascii="Calibri" w:hAnsi="Calibri" w:cs="Calibri"/>
          <w:color w:val="0F6E56"/>
        </w:rPr>
        <w:t>3.1  The real structure of work</w:t>
      </w:r>
    </w:p>
    <w:p w14:paraId="120491D5" w14:textId="77777777" w:rsidR="00ED5716" w:rsidRPr="00583339" w:rsidRDefault="00CF7F8C" w:rsidP="00583339">
      <w:pPr>
        <w:spacing w:before="80" w:after="100" w:line="340" w:lineRule="auto"/>
        <w:jc w:val="both"/>
        <w:rPr>
          <w:rFonts w:ascii="Calibri" w:hAnsi="Calibri" w:cs="Calibri"/>
        </w:rPr>
      </w:pPr>
      <w:r w:rsidRPr="00583339">
        <w:rPr>
          <w:rFonts w:ascii="Calibri" w:hAnsi="Calibri" w:cs="Calibri"/>
        </w:rPr>
        <w:t>One senior nurse manages the main brand — the one with the largest patient volume. Three colleagues manage minor brands, each formally authorised to close cases on the SIO when device parameters fall within guideline thresholds. They are required to leave open cases they cannot resolve: battery failures, transmission errors, alerts that are not clearly false. Those cases land on the senior. So do patient phone calls — about anything. Fear before a holiday. A request to reschedule to combine the visit with renewing a driving licence. Appointments in this ward are rare and scheduled far in advance; patients learn to optimise.</w:t>
      </w:r>
    </w:p>
    <w:p w14:paraId="545B403D" w14:textId="77777777" w:rsidR="00ED5716" w:rsidRPr="00583339" w:rsidRDefault="00CF7F8C" w:rsidP="00583339">
      <w:pPr>
        <w:spacing w:before="80" w:after="100" w:line="340" w:lineRule="auto"/>
        <w:jc w:val="both"/>
        <w:rPr>
          <w:rFonts w:ascii="Calibri" w:hAnsi="Calibri" w:cs="Calibri"/>
        </w:rPr>
      </w:pPr>
      <w:r w:rsidRPr="00583339">
        <w:rPr>
          <w:rFonts w:ascii="Calibri" w:hAnsi="Calibri" w:cs="Calibri"/>
        </w:rPr>
        <w:lastRenderedPageBreak/>
        <w:t>The senior also mediates informally across brands. When a colleague encounters a case on a brand that is not theirs, they turn to the senior — not through any formal protocol, but because competence has concentrated there. This cross-brand advisory function exists nowhere in any job description.</w:t>
      </w:r>
    </w:p>
    <w:p w14:paraId="4BBC5647" w14:textId="77777777" w:rsidR="00ED5716" w:rsidRPr="00583339" w:rsidRDefault="00CF7F8C" w:rsidP="00583339">
      <w:pPr>
        <w:spacing w:before="80" w:after="100" w:line="340" w:lineRule="auto"/>
        <w:jc w:val="both"/>
        <w:rPr>
          <w:rFonts w:ascii="Calibri" w:hAnsi="Calibri" w:cs="Calibri"/>
        </w:rPr>
      </w:pPr>
      <w:r w:rsidRPr="00583339">
        <w:rPr>
          <w:rFonts w:ascii="Calibri" w:hAnsi="Calibri" w:cs="Calibri"/>
        </w:rPr>
        <w:t>Observed empirically: data always gravitates toward the point of greatest management capacity. Colleagues support this movement, consciously or not, because the outcomes are better when complex cases reach the senior. The system is rational. The distribution is unjust.</w:t>
      </w:r>
    </w:p>
    <w:p w14:paraId="1346ADC6" w14:textId="77777777" w:rsidR="00ED5716" w:rsidRPr="00583339" w:rsidRDefault="00CF7F8C" w:rsidP="00583339">
      <w:pPr>
        <w:pStyle w:val="Heading2"/>
        <w:jc w:val="both"/>
        <w:rPr>
          <w:rFonts w:ascii="Calibri" w:hAnsi="Calibri" w:cs="Calibri"/>
        </w:rPr>
      </w:pPr>
      <w:r w:rsidRPr="00583339">
        <w:rPr>
          <w:rFonts w:ascii="Calibri" w:hAnsi="Calibri" w:cs="Calibri"/>
          <w:color w:val="0F6E56"/>
        </w:rPr>
        <w:t>3.2  Three ontological boundaries</w:t>
      </w:r>
    </w:p>
    <w:p w14:paraId="19853F74" w14:textId="77777777" w:rsidR="00ED5716" w:rsidRPr="00583339" w:rsidRDefault="00CF7F8C" w:rsidP="00583339">
      <w:pPr>
        <w:spacing w:before="80" w:after="100" w:line="340" w:lineRule="auto"/>
        <w:jc w:val="both"/>
        <w:rPr>
          <w:rFonts w:ascii="Calibri" w:hAnsi="Calibri" w:cs="Calibri"/>
        </w:rPr>
      </w:pPr>
      <w:r w:rsidRPr="00583339">
        <w:rPr>
          <w:rFonts w:ascii="Calibri" w:hAnsi="Calibri" w:cs="Calibri"/>
        </w:rPr>
        <w:t>Every time data crosses a boundary in this system, it changes ontology — not merely format, but meaning. Latour and Callon describe this as translation: every actant that handles the entity redefines it, inscribes it into a new register. Three boundaries are structurally significant.</w:t>
      </w:r>
    </w:p>
    <w:p w14:paraId="27DFF34C" w14:textId="77777777" w:rsidR="00ED5716" w:rsidRPr="00583339" w:rsidRDefault="00CF7F8C" w:rsidP="00583339">
      <w:pPr>
        <w:spacing w:before="80" w:after="100" w:line="340" w:lineRule="auto"/>
        <w:jc w:val="both"/>
        <w:rPr>
          <w:rFonts w:ascii="Calibri" w:hAnsi="Calibri" w:cs="Calibri"/>
        </w:rPr>
      </w:pPr>
      <w:r w:rsidRPr="00583339">
        <w:rPr>
          <w:rFonts w:ascii="Calibri" w:hAnsi="Calibri" w:cs="Calibri"/>
        </w:rPr>
        <w:t>At Boundary 1 — technical to clinical — the raw device signal reaches the nurse already interpreted. The brand's safe thresholds embed choices: what counts as a normal patient, what risk margin is acceptable, which parameter matters. This is ethics materialised in code. By the time the nurse opens the dashboard, a proto-ASSESS has already occurred — silently, before any human act. The AI actant has stabilised the interpretant.</w:t>
      </w:r>
    </w:p>
    <w:p w14:paraId="55858040" w14:textId="77777777" w:rsidR="00ED5716" w:rsidRPr="00583339" w:rsidRDefault="00CF7F8C" w:rsidP="00583339">
      <w:pPr>
        <w:spacing w:before="80" w:after="100" w:line="340" w:lineRule="auto"/>
        <w:jc w:val="both"/>
        <w:rPr>
          <w:rFonts w:ascii="Calibri" w:hAnsi="Calibri" w:cs="Calibri"/>
        </w:rPr>
      </w:pPr>
      <w:r w:rsidRPr="00583339">
        <w:rPr>
          <w:rFonts w:ascii="Calibri" w:hAnsi="Calibri" w:cs="Calibri"/>
        </w:rPr>
        <w:t>At Boundary 2 — clinical to administrative — the nurse copies parameters onto the SIO. The system records the data but not the act. There is no trace that they evaluated the reading, compared it across time, consulted a colleague, or exercised contextual judgement. The act disappears; the data remains. If something goes wrong, the audit trail shows what was recorded — not what was decided, by whom, under which competence.</w:t>
      </w:r>
    </w:p>
    <w:p w14:paraId="7D9608B0" w14:textId="77777777" w:rsidR="00ED5716" w:rsidRPr="00583339" w:rsidRDefault="00CF7F8C" w:rsidP="00583339">
      <w:pPr>
        <w:spacing w:before="80" w:after="100" w:line="340" w:lineRule="auto"/>
        <w:jc w:val="both"/>
        <w:rPr>
          <w:rFonts w:ascii="Calibri" w:hAnsi="Calibri" w:cs="Calibri"/>
        </w:rPr>
      </w:pPr>
      <w:r w:rsidRPr="00583339">
        <w:rPr>
          <w:rFonts w:ascii="Calibri" w:hAnsi="Calibri" w:cs="Calibri"/>
        </w:rPr>
        <w:t>At Boundary 3 — clinical to patient self-perception — the patient receives a message on the TreC that has already passed through two ontological translations. Mol's body multiple is operative here: the cardiac condition exists simultaneously as a device signal, an administrative record, and a lived experience. When the device flags an alert but the patient feels fine, or when the patient is frightened but parameters are stable, no current system has a formal mechanism for managing the ontological conflict. The nurse manages it, informally, on the phone or via TreC message.</w:t>
      </w:r>
    </w:p>
    <w:p w14:paraId="7FD84849" w14:textId="77777777" w:rsidR="00ED5716" w:rsidRPr="00583339" w:rsidRDefault="00CF7F8C" w:rsidP="00583339">
      <w:pPr>
        <w:pStyle w:val="Heading2"/>
        <w:jc w:val="both"/>
        <w:rPr>
          <w:rFonts w:ascii="Calibri" w:hAnsi="Calibri" w:cs="Calibri"/>
        </w:rPr>
      </w:pPr>
      <w:r w:rsidRPr="00583339">
        <w:rPr>
          <w:rFonts w:ascii="Calibri" w:hAnsi="Calibri" w:cs="Calibri"/>
          <w:color w:val="0F6E56"/>
        </w:rPr>
        <w:t>3.3  The 75/25 split and what it reveals</w:t>
      </w:r>
    </w:p>
    <w:p w14:paraId="275A1E91" w14:textId="77777777" w:rsidR="00ED5716" w:rsidRPr="00583339" w:rsidRDefault="00CF7F8C" w:rsidP="00583339">
      <w:pPr>
        <w:spacing w:before="80" w:after="100" w:line="340" w:lineRule="auto"/>
        <w:jc w:val="both"/>
        <w:rPr>
          <w:rFonts w:ascii="Calibri" w:hAnsi="Calibri" w:cs="Calibri"/>
        </w:rPr>
      </w:pPr>
      <w:r w:rsidRPr="00583339">
        <w:rPr>
          <w:rFonts w:ascii="Calibri" w:hAnsi="Calibri" w:cs="Calibri"/>
        </w:rPr>
        <w:t>A structural feature of the ward's operation is that roughly 75% of monitored cases are closed by the nursing team — cases where parameters are congruent with guidelines — and approximately 25% are escalated to the medical team via the ward's electronic records for clinical decision. This split is not arbitrary. It represents an empirically evolved stratification of communicative acts by institutional weight: the nursing team handles cases that fall within the established protocol; the medical team handles cases that require clinical judgement beyond it.</w:t>
      </w:r>
    </w:p>
    <w:p w14:paraId="475378DE" w14:textId="77777777" w:rsidR="00ED5716" w:rsidRPr="00583339" w:rsidRDefault="00CF7F8C" w:rsidP="00583339">
      <w:pPr>
        <w:spacing w:before="80" w:after="100" w:line="340" w:lineRule="auto"/>
        <w:jc w:val="both"/>
        <w:rPr>
          <w:rFonts w:ascii="Calibri" w:hAnsi="Calibri" w:cs="Calibri"/>
        </w:rPr>
      </w:pPr>
      <w:r w:rsidRPr="00583339">
        <w:rPr>
          <w:rFonts w:ascii="Calibri" w:hAnsi="Calibri" w:cs="Calibri"/>
        </w:rPr>
        <w:lastRenderedPageBreak/>
        <w:t>This is, in effect, a proto-TGP — a practical grammar of communicative accountability that has emerged without formal design. The problem is that the grammar is implicit, unwritten, and unevenly distributed. It works because one actor — the senior nurse — has accumulated sufficient competence to maintain it. It is fragile for the same reason.</w:t>
      </w:r>
    </w:p>
    <w:p w14:paraId="6850AE78" w14:textId="77777777" w:rsidR="00ED5716" w:rsidRPr="00583339" w:rsidRDefault="00ED5716" w:rsidP="00583339">
      <w:pPr>
        <w:spacing w:before="160"/>
        <w:jc w:val="both"/>
        <w:rPr>
          <w:rFonts w:ascii="Calibri" w:hAnsi="Calibri" w:cs="Calibri"/>
        </w:rPr>
      </w:pPr>
    </w:p>
    <w:p w14:paraId="7A4218EB" w14:textId="77777777" w:rsidR="00ED5716" w:rsidRPr="00583339" w:rsidRDefault="00CF7F8C" w:rsidP="00583339">
      <w:pPr>
        <w:pStyle w:val="Heading1"/>
        <w:jc w:val="both"/>
        <w:rPr>
          <w:rFonts w:ascii="Calibri" w:hAnsi="Calibri" w:cs="Calibri"/>
        </w:rPr>
      </w:pPr>
      <w:r w:rsidRPr="00583339">
        <w:rPr>
          <w:rFonts w:ascii="Calibri" w:hAnsi="Calibri" w:cs="Calibri"/>
          <w:color w:val="534AB7"/>
        </w:rPr>
        <w:t>4.  The layered structure of communicative accountability</w:t>
      </w:r>
    </w:p>
    <w:p w14:paraId="44915102" w14:textId="77777777" w:rsidR="00ED5716" w:rsidRPr="00583339" w:rsidRDefault="00CF7F8C" w:rsidP="00583339">
      <w:pPr>
        <w:spacing w:before="80" w:after="100" w:line="340" w:lineRule="auto"/>
        <w:jc w:val="both"/>
        <w:rPr>
          <w:rFonts w:ascii="Calibri" w:hAnsi="Calibri" w:cs="Calibri"/>
        </w:rPr>
      </w:pPr>
      <w:r w:rsidRPr="00583339">
        <w:rPr>
          <w:rFonts w:ascii="Calibri" w:hAnsi="Calibri" w:cs="Calibri"/>
        </w:rPr>
        <w:t>The Rovereto case makes visible a structural distinction that is often collapsed in the design of digital systems: the difference between the work that produces a communicative act, the act itself, and its inscription within institutional systems. These are not merely analytical distinctions. They correspond to different forms of accountability, different design requirements, and different failure modes.</w:t>
      </w:r>
    </w:p>
    <w:p w14:paraId="15DD8F86" w14:textId="77777777" w:rsidR="00ED5716" w:rsidRPr="00583339" w:rsidRDefault="00CF7F8C" w:rsidP="00583339">
      <w:pPr>
        <w:spacing w:before="80" w:after="100" w:line="340" w:lineRule="auto"/>
        <w:jc w:val="both"/>
        <w:rPr>
          <w:rFonts w:ascii="Calibri" w:hAnsi="Calibri" w:cs="Calibri"/>
        </w:rPr>
      </w:pPr>
      <w:r w:rsidRPr="00583339">
        <w:rPr>
          <w:rFonts w:ascii="Calibri" w:hAnsi="Calibri" w:cs="Calibri"/>
        </w:rPr>
        <w:t>We propose a three-layer structure.</w:t>
      </w:r>
    </w:p>
    <w:p w14:paraId="6FD7BA54" w14:textId="77777777" w:rsidR="00ED5716" w:rsidRPr="00583339" w:rsidRDefault="00CF7F8C" w:rsidP="00583339">
      <w:pPr>
        <w:pStyle w:val="Heading2"/>
        <w:jc w:val="both"/>
        <w:rPr>
          <w:rFonts w:ascii="Calibri" w:hAnsi="Calibri" w:cs="Calibri"/>
        </w:rPr>
      </w:pPr>
      <w:r w:rsidRPr="00583339">
        <w:rPr>
          <w:rFonts w:ascii="Calibri" w:hAnsi="Calibri" w:cs="Calibri"/>
          <w:color w:val="534AB7"/>
        </w:rPr>
        <w:t>4.1  Pre-communicative work</w:t>
      </w:r>
    </w:p>
    <w:p w14:paraId="421420A0" w14:textId="77777777" w:rsidR="00ED5716" w:rsidRPr="00583339" w:rsidRDefault="00CF7F8C" w:rsidP="00583339">
      <w:pPr>
        <w:spacing w:before="80" w:after="100" w:line="340" w:lineRule="auto"/>
        <w:jc w:val="both"/>
        <w:rPr>
          <w:rFonts w:ascii="Calibri" w:hAnsi="Calibri" w:cs="Calibri"/>
        </w:rPr>
      </w:pPr>
      <w:r w:rsidRPr="00583339">
        <w:rPr>
          <w:rFonts w:ascii="Calibri" w:hAnsi="Calibri" w:cs="Calibri"/>
        </w:rPr>
        <w:t>Before any communicative act is performed, a substantial body of work takes place. This includes interpretation, contextualisation, informal consultation, and the exercise of professional judgement. In the Rovereto ward, this layer is where the senior nurse operates most intensively: comparing signals across time, interpreting ambiguous alerts, consulting colleagues across brand boundaries, and integrating patient-specific knowledge that is not present in any system.</w:t>
      </w:r>
    </w:p>
    <w:p w14:paraId="19347A8F" w14:textId="77777777" w:rsidR="00ED5716" w:rsidRPr="00583339" w:rsidRDefault="00CF7F8C" w:rsidP="00583339">
      <w:pPr>
        <w:pBdr>
          <w:top w:val="single" w:sz="2" w:space="4" w:color="0F6E56"/>
          <w:left w:val="single" w:sz="12" w:space="10" w:color="0F6E56"/>
          <w:bottom w:val="single" w:sz="2" w:space="4" w:color="0F6E56"/>
          <w:right w:val="single" w:sz="2" w:space="4" w:color="0F6E56"/>
        </w:pBdr>
        <w:shd w:val="clear" w:color="auto" w:fill="E1F5EE"/>
        <w:spacing w:before="80" w:after="100" w:line="340" w:lineRule="auto"/>
        <w:ind w:left="400"/>
        <w:jc w:val="both"/>
        <w:rPr>
          <w:rFonts w:ascii="Calibri" w:hAnsi="Calibri" w:cs="Calibri"/>
        </w:rPr>
      </w:pPr>
      <w:r w:rsidRPr="00583339">
        <w:rPr>
          <w:rFonts w:ascii="Calibri" w:hAnsi="Calibri" w:cs="Calibri"/>
          <w:b/>
          <w:bCs/>
          <w:color w:val="0F6E56"/>
          <w:sz w:val="20"/>
          <w:szCs w:val="20"/>
        </w:rPr>
        <w:t xml:space="preserve">[ADD]  </w:t>
      </w:r>
      <w:r w:rsidRPr="00583339">
        <w:rPr>
          <w:rFonts w:ascii="Calibri" w:hAnsi="Calibri" w:cs="Calibri"/>
          <w:i/>
          <w:iCs/>
          <w:sz w:val="20"/>
          <w:szCs w:val="20"/>
        </w:rPr>
        <w:t>This work also includes the cross-brand mediation described above: when a colleague encounters a case on an unfamiliar brand, they consult the senior informally. This consultation is not a communicative act in TGP's sense — it produces no typed archetype, no formal record. But it is a necessary condition for the subsequent act of closing or escalating the case. The pre-communicative layer is wider than individual cognition; it is a distributed, relational practice.</w:t>
      </w:r>
    </w:p>
    <w:p w14:paraId="0D4E9106" w14:textId="77777777" w:rsidR="00ED5716" w:rsidRPr="00583339" w:rsidRDefault="00CF7F8C" w:rsidP="00583339">
      <w:pPr>
        <w:spacing w:before="80" w:after="100" w:line="340" w:lineRule="auto"/>
        <w:jc w:val="both"/>
        <w:rPr>
          <w:rFonts w:ascii="Calibri" w:hAnsi="Calibri" w:cs="Calibri"/>
        </w:rPr>
      </w:pPr>
      <w:r w:rsidRPr="00583339">
        <w:rPr>
          <w:rFonts w:ascii="Calibri" w:hAnsi="Calibri" w:cs="Calibri"/>
        </w:rPr>
        <w:t>This work is not yet communicative in the institutional sense. It does not produce a formally recognisable act. Yet it is a necessary condition for any such act to be meaningful. Without it, the act would be either mechanically derived or contextually blind.</w:t>
      </w:r>
    </w:p>
    <w:p w14:paraId="1A1E5B30" w14:textId="77777777" w:rsidR="00ED5716" w:rsidRPr="00583339" w:rsidRDefault="00CF7F8C" w:rsidP="00583339">
      <w:pPr>
        <w:spacing w:before="80" w:after="100" w:line="340" w:lineRule="auto"/>
        <w:jc w:val="both"/>
        <w:rPr>
          <w:rFonts w:ascii="Calibri" w:hAnsi="Calibri" w:cs="Calibri"/>
        </w:rPr>
      </w:pPr>
      <w:r w:rsidRPr="00583339">
        <w:rPr>
          <w:rFonts w:ascii="Calibri" w:hAnsi="Calibri" w:cs="Calibri"/>
        </w:rPr>
        <w:t>In contemporary digital environments, this layer increasingly includes algorithmic pre-processing. Device dashboards and embedded AI systems do not present raw signals; they present pre-interpreted outputs, shaped by design choices, clinical trials, and encoded thresholds. These outputs can be understood as proto-acts: structured interpretations that precede human judgement but do not yet carry institutional accountability.</w:t>
      </w:r>
    </w:p>
    <w:p w14:paraId="199D0945" w14:textId="77777777" w:rsidR="00ED5716" w:rsidRPr="00583339" w:rsidRDefault="00CF7F8C" w:rsidP="00583339">
      <w:pPr>
        <w:pBdr>
          <w:top w:val="single" w:sz="2" w:space="4" w:color="0F6E56"/>
          <w:left w:val="single" w:sz="12" w:space="10" w:color="0F6E56"/>
          <w:bottom w:val="single" w:sz="2" w:space="4" w:color="0F6E56"/>
          <w:right w:val="single" w:sz="2" w:space="4" w:color="0F6E56"/>
        </w:pBdr>
        <w:shd w:val="clear" w:color="auto" w:fill="E1F5EE"/>
        <w:spacing w:before="80" w:after="100" w:line="340" w:lineRule="auto"/>
        <w:ind w:left="400"/>
        <w:jc w:val="both"/>
        <w:rPr>
          <w:rFonts w:ascii="Calibri" w:hAnsi="Calibri" w:cs="Calibri"/>
        </w:rPr>
      </w:pPr>
      <w:r w:rsidRPr="00583339">
        <w:rPr>
          <w:rFonts w:ascii="Calibri" w:hAnsi="Calibri" w:cs="Calibri"/>
          <w:b/>
          <w:bCs/>
          <w:color w:val="0F6E56"/>
          <w:sz w:val="20"/>
          <w:szCs w:val="20"/>
        </w:rPr>
        <w:t xml:space="preserve">[ADD]  </w:t>
      </w:r>
      <w:r w:rsidRPr="00583339">
        <w:rPr>
          <w:rFonts w:ascii="Calibri" w:hAnsi="Calibri" w:cs="Calibri"/>
          <w:i/>
          <w:iCs/>
          <w:sz w:val="20"/>
          <w:szCs w:val="20"/>
        </w:rPr>
        <w:t xml:space="preserve">From an EASST/ANT perspective, these algorithmic systems are actants in the network — not neutral tools but entities with agency, embedded values, and the capacity to pre-stabilise the interpretant before any human intervenes (Latour, 2005). The brand's AI does not merely present data: it makes a </w:t>
      </w:r>
      <w:r w:rsidRPr="00583339">
        <w:rPr>
          <w:rFonts w:ascii="Calibri" w:hAnsi="Calibri" w:cs="Calibri"/>
          <w:i/>
          <w:iCs/>
          <w:sz w:val="20"/>
          <w:szCs w:val="20"/>
        </w:rPr>
        <w:lastRenderedPageBreak/>
        <w:t>recommendation about what is normal. This has a precise implication for TGP: the first communicative act in the sequence — the human ASSESS or RATIFY — is already a response to a prior non-human act. The grammar must be able to represent this.</w:t>
      </w:r>
    </w:p>
    <w:p w14:paraId="387964D3" w14:textId="77777777" w:rsidR="00ED5716" w:rsidRPr="00583339" w:rsidRDefault="00CF7F8C" w:rsidP="00583339">
      <w:pPr>
        <w:spacing w:before="80" w:after="100" w:line="340" w:lineRule="auto"/>
        <w:jc w:val="both"/>
        <w:rPr>
          <w:rFonts w:ascii="Calibri" w:hAnsi="Calibri" w:cs="Calibri"/>
        </w:rPr>
      </w:pPr>
      <w:r w:rsidRPr="00583339">
        <w:rPr>
          <w:rFonts w:ascii="Calibri" w:hAnsi="Calibri" w:cs="Calibri"/>
        </w:rPr>
        <w:t>The key characteristic of the pre-communicative layer is therefore not informality, but lack of institutional inscription. It is where meaning is actively constructed, but not yet formally attributed.</w:t>
      </w:r>
    </w:p>
    <w:p w14:paraId="241DB471" w14:textId="77777777" w:rsidR="00ED5716" w:rsidRPr="00583339" w:rsidRDefault="00CF7F8C" w:rsidP="00583339">
      <w:pPr>
        <w:pStyle w:val="Heading2"/>
        <w:jc w:val="both"/>
        <w:rPr>
          <w:rFonts w:ascii="Calibri" w:hAnsi="Calibri" w:cs="Calibri"/>
        </w:rPr>
      </w:pPr>
      <w:r w:rsidRPr="00583339">
        <w:rPr>
          <w:rFonts w:ascii="Calibri" w:hAnsi="Calibri" w:cs="Calibri"/>
          <w:color w:val="534AB7"/>
        </w:rPr>
        <w:t>4.2  Communicative act</w:t>
      </w:r>
    </w:p>
    <w:p w14:paraId="22A018F6" w14:textId="77777777" w:rsidR="00ED5716" w:rsidRPr="00583339" w:rsidRDefault="00CF7F8C" w:rsidP="00583339">
      <w:pPr>
        <w:spacing w:before="80" w:after="100" w:line="340" w:lineRule="auto"/>
        <w:jc w:val="both"/>
        <w:rPr>
          <w:rFonts w:ascii="Calibri" w:hAnsi="Calibri" w:cs="Calibri"/>
        </w:rPr>
      </w:pPr>
      <w:r w:rsidRPr="00583339">
        <w:rPr>
          <w:rFonts w:ascii="Calibri" w:hAnsi="Calibri" w:cs="Calibri"/>
        </w:rPr>
        <w:t>The communicative act is the moment at which an actor, operating within an institutional role and mandate, produces a statement that carries consequences. This is the level at which TGP situates its core grammar: acts such as asserting, proposing, approving, or delegating.</w:t>
      </w:r>
    </w:p>
    <w:p w14:paraId="72EA5AE6" w14:textId="77777777" w:rsidR="00ED5716" w:rsidRPr="00583339" w:rsidRDefault="00CF7F8C" w:rsidP="00583339">
      <w:pPr>
        <w:spacing w:before="80" w:after="100" w:line="340" w:lineRule="auto"/>
        <w:jc w:val="both"/>
        <w:rPr>
          <w:rFonts w:ascii="Calibri" w:hAnsi="Calibri" w:cs="Calibri"/>
        </w:rPr>
      </w:pPr>
      <w:r w:rsidRPr="00583339">
        <w:rPr>
          <w:rFonts w:ascii="Calibri" w:hAnsi="Calibri" w:cs="Calibri"/>
        </w:rPr>
        <w:t>In the Rovereto case, this occurs when a nurse closes a case, records a parameter, or communicates a decision. At this point, responsibility is attributable: it is possible to ask who decided, under what mandate, and with what declared purpose.</w:t>
      </w:r>
    </w:p>
    <w:p w14:paraId="23AE18FA" w14:textId="77777777" w:rsidR="00ED5716" w:rsidRPr="00583339" w:rsidRDefault="00CF7F8C" w:rsidP="00583339">
      <w:pPr>
        <w:pBdr>
          <w:top w:val="single" w:sz="2" w:space="4" w:color="0F6E56"/>
          <w:left w:val="single" w:sz="12" w:space="10" w:color="0F6E56"/>
          <w:bottom w:val="single" w:sz="2" w:space="4" w:color="0F6E56"/>
          <w:right w:val="single" w:sz="2" w:space="4" w:color="0F6E56"/>
        </w:pBdr>
        <w:shd w:val="clear" w:color="auto" w:fill="E1F5EE"/>
        <w:spacing w:before="80" w:after="100" w:line="340" w:lineRule="auto"/>
        <w:ind w:left="400"/>
        <w:jc w:val="both"/>
        <w:rPr>
          <w:rFonts w:ascii="Calibri" w:hAnsi="Calibri" w:cs="Calibri"/>
        </w:rPr>
      </w:pPr>
      <w:r w:rsidRPr="00583339">
        <w:rPr>
          <w:rFonts w:ascii="Calibri" w:hAnsi="Calibri" w:cs="Calibri"/>
          <w:b/>
          <w:bCs/>
          <w:color w:val="0F6E56"/>
          <w:sz w:val="20"/>
          <w:szCs w:val="20"/>
        </w:rPr>
        <w:t xml:space="preserve">[ADD]  </w:t>
      </w:r>
      <w:r w:rsidRPr="00583339">
        <w:rPr>
          <w:rFonts w:ascii="Calibri" w:hAnsi="Calibri" w:cs="Calibri"/>
          <w:i/>
          <w:iCs/>
          <w:sz w:val="20"/>
          <w:szCs w:val="20"/>
        </w:rPr>
        <w:t>It also occurs — though less visibly — when the nurse sends a message on the TreC to a patient. This act crosses Boundary 3 and changes ontological register: the institutional record becomes patient-facing communication. The same information carries a different meaning depending on which system receives it, and TGP's grammar should be able to mark this crossing explicitly.</w:t>
      </w:r>
    </w:p>
    <w:p w14:paraId="6900E631" w14:textId="77777777" w:rsidR="00ED5716" w:rsidRPr="00583339" w:rsidRDefault="00CF7F8C" w:rsidP="00583339">
      <w:pPr>
        <w:spacing w:before="80" w:after="100" w:line="340" w:lineRule="auto"/>
        <w:jc w:val="both"/>
        <w:rPr>
          <w:rFonts w:ascii="Calibri" w:hAnsi="Calibri" w:cs="Calibri"/>
        </w:rPr>
      </w:pPr>
      <w:r w:rsidRPr="00583339">
        <w:rPr>
          <w:rFonts w:ascii="Calibri" w:hAnsi="Calibri" w:cs="Calibri"/>
        </w:rPr>
        <w:t>What distinguishes this layer is not the presence of meaning, but the attribution of accountability. The act is no longer merely interpretative; it is institutionally consequential.</w:t>
      </w:r>
    </w:p>
    <w:p w14:paraId="628BC88E" w14:textId="77777777" w:rsidR="00ED5716" w:rsidRPr="00583339" w:rsidRDefault="00CF7F8C" w:rsidP="00583339">
      <w:pPr>
        <w:pStyle w:val="Heading2"/>
        <w:jc w:val="both"/>
        <w:rPr>
          <w:rFonts w:ascii="Calibri" w:hAnsi="Calibri" w:cs="Calibri"/>
        </w:rPr>
      </w:pPr>
      <w:r w:rsidRPr="00583339">
        <w:rPr>
          <w:rFonts w:ascii="Calibri" w:hAnsi="Calibri" w:cs="Calibri"/>
          <w:color w:val="534AB7"/>
        </w:rPr>
        <w:t>4.3  Institutional inscription</w:t>
      </w:r>
    </w:p>
    <w:p w14:paraId="2799D8DD" w14:textId="77777777" w:rsidR="00ED5716" w:rsidRPr="00583339" w:rsidRDefault="00CF7F8C" w:rsidP="00583339">
      <w:pPr>
        <w:spacing w:before="80" w:after="100" w:line="340" w:lineRule="auto"/>
        <w:jc w:val="both"/>
        <w:rPr>
          <w:rFonts w:ascii="Calibri" w:hAnsi="Calibri" w:cs="Calibri"/>
        </w:rPr>
      </w:pPr>
      <w:r w:rsidRPr="00583339">
        <w:rPr>
          <w:rFonts w:ascii="Calibri" w:hAnsi="Calibri" w:cs="Calibri"/>
        </w:rPr>
        <w:t>The final layer is the inscription of the communicative act within an organisational system: the recording of data, timestamps, codes, and outcomes. This is where the system achieves persistence, auditability, and coordination across actors and time.</w:t>
      </w:r>
    </w:p>
    <w:p w14:paraId="542151A1" w14:textId="77777777" w:rsidR="00ED5716" w:rsidRPr="00583339" w:rsidRDefault="00CF7F8C" w:rsidP="00583339">
      <w:pPr>
        <w:spacing w:before="80" w:after="100" w:line="340" w:lineRule="auto"/>
        <w:jc w:val="both"/>
        <w:rPr>
          <w:rFonts w:ascii="Calibri" w:hAnsi="Calibri" w:cs="Calibri"/>
        </w:rPr>
      </w:pPr>
      <w:r w:rsidRPr="00583339">
        <w:rPr>
          <w:rFonts w:ascii="Calibri" w:hAnsi="Calibri" w:cs="Calibri"/>
        </w:rPr>
        <w:t>However, as the Rovereto case shows, inscription often captures the result of the act but not the conditions under which it was produced. The SIO records a closed case, but not the interpretative work, informal consultations, or contextual judgements that led to that closure.</w:t>
      </w:r>
    </w:p>
    <w:p w14:paraId="1D4561EF" w14:textId="77777777" w:rsidR="00ED5716" w:rsidRPr="00583339" w:rsidRDefault="00CF7F8C" w:rsidP="00583339">
      <w:pPr>
        <w:pBdr>
          <w:top w:val="single" w:sz="2" w:space="4" w:color="0F6E56"/>
          <w:left w:val="single" w:sz="12" w:space="10" w:color="0F6E56"/>
          <w:bottom w:val="single" w:sz="2" w:space="4" w:color="0F6E56"/>
          <w:right w:val="single" w:sz="2" w:space="4" w:color="0F6E56"/>
        </w:pBdr>
        <w:shd w:val="clear" w:color="auto" w:fill="E1F5EE"/>
        <w:spacing w:before="80" w:after="100" w:line="340" w:lineRule="auto"/>
        <w:ind w:left="400"/>
        <w:jc w:val="both"/>
        <w:rPr>
          <w:rFonts w:ascii="Calibri" w:hAnsi="Calibri" w:cs="Calibri"/>
        </w:rPr>
      </w:pPr>
      <w:r w:rsidRPr="00583339">
        <w:rPr>
          <w:rFonts w:ascii="Calibri" w:hAnsi="Calibri" w:cs="Calibri"/>
          <w:b/>
          <w:bCs/>
          <w:color w:val="0F6E56"/>
          <w:sz w:val="20"/>
          <w:szCs w:val="20"/>
        </w:rPr>
        <w:t xml:space="preserve">[ADD]  </w:t>
      </w:r>
      <w:r w:rsidRPr="00583339">
        <w:rPr>
          <w:rFonts w:ascii="Calibri" w:hAnsi="Calibri" w:cs="Calibri"/>
          <w:i/>
          <w:iCs/>
          <w:sz w:val="20"/>
          <w:szCs w:val="20"/>
        </w:rPr>
        <w:t>This asymmetry has a specific legal and professional dimension in the Italian context. Under the regulatory framework governing the FSE (Fascicolo Sanitario Elettronico) and the provincial SIO, the inscription of a case closure carries formal accountability for the actor who performs it. But the accountability is attached to the record, not to the reasoning. If complications arise, the audit trail shows what was recorded — not who consulted whom, on which brand, with which contextual knowledge. Star and Strauss (1999) call this the ecology of invisible work: the labour that holds the system together becomes invisible at the very moment it succeeds.</w:t>
      </w:r>
    </w:p>
    <w:p w14:paraId="09CADC81" w14:textId="77777777" w:rsidR="00ED5716" w:rsidRPr="00583339" w:rsidRDefault="00CF7F8C" w:rsidP="00583339">
      <w:pPr>
        <w:spacing w:before="80" w:after="100" w:line="340" w:lineRule="auto"/>
        <w:jc w:val="both"/>
        <w:rPr>
          <w:rFonts w:ascii="Calibri" w:hAnsi="Calibri" w:cs="Calibri"/>
        </w:rPr>
      </w:pPr>
      <w:r w:rsidRPr="00583339">
        <w:rPr>
          <w:rFonts w:ascii="Calibri" w:hAnsi="Calibri" w:cs="Calibri"/>
        </w:rPr>
        <w:lastRenderedPageBreak/>
        <w:t>This creates a structural asymmetry: the organisation remembers outcomes but forgets the work that made them possible.</w:t>
      </w:r>
    </w:p>
    <w:p w14:paraId="4679E9B3" w14:textId="77777777" w:rsidR="00ED5716" w:rsidRPr="00583339" w:rsidRDefault="00CF7F8C" w:rsidP="00583339">
      <w:pPr>
        <w:pStyle w:val="Heading2"/>
        <w:jc w:val="both"/>
        <w:rPr>
          <w:rFonts w:ascii="Calibri" w:hAnsi="Calibri" w:cs="Calibri"/>
        </w:rPr>
      </w:pPr>
      <w:r w:rsidRPr="00583339">
        <w:rPr>
          <w:rFonts w:ascii="Calibri" w:hAnsi="Calibri" w:cs="Calibri"/>
          <w:color w:val="534AB7"/>
        </w:rPr>
        <w:t>4.4  Design implication: accountable granularity</w:t>
      </w:r>
    </w:p>
    <w:p w14:paraId="4E0751A4" w14:textId="77777777" w:rsidR="00ED5716" w:rsidRPr="00583339" w:rsidRDefault="00CF7F8C" w:rsidP="00583339">
      <w:pPr>
        <w:spacing w:before="80" w:after="100" w:line="340" w:lineRule="auto"/>
        <w:jc w:val="both"/>
        <w:rPr>
          <w:rFonts w:ascii="Calibri" w:hAnsi="Calibri" w:cs="Calibri"/>
        </w:rPr>
      </w:pPr>
      <w:r w:rsidRPr="00583339">
        <w:rPr>
          <w:rFonts w:ascii="Calibri" w:hAnsi="Calibri" w:cs="Calibri"/>
        </w:rPr>
        <w:t>The distinction between these layers clarifies a central design problem. Attempting to formalise all pre-communicative work leads to overload and paralysis; failing to formalise communicative acts leads to opacity and lack of accountability.</w:t>
      </w:r>
    </w:p>
    <w:p w14:paraId="09D3E3B6" w14:textId="77777777" w:rsidR="00ED5716" w:rsidRPr="00583339" w:rsidRDefault="00CF7F8C" w:rsidP="00583339">
      <w:pPr>
        <w:spacing w:before="80" w:after="100" w:line="340" w:lineRule="auto"/>
        <w:jc w:val="both"/>
        <w:rPr>
          <w:rFonts w:ascii="Calibri" w:hAnsi="Calibri" w:cs="Calibri"/>
        </w:rPr>
      </w:pPr>
      <w:r w:rsidRPr="00583339">
        <w:rPr>
          <w:rFonts w:ascii="Calibri" w:hAnsi="Calibri" w:cs="Calibri"/>
        </w:rPr>
        <w:t>The design principle that follows is one of accountable granularity: accountability must be established at the level where institutional consequences arise, while the conditions of judgement must be recognised without being exhaustively formalised.</w:t>
      </w:r>
    </w:p>
    <w:p w14:paraId="20D37C82" w14:textId="77777777" w:rsidR="00ED5716" w:rsidRPr="00583339" w:rsidRDefault="00CF7F8C" w:rsidP="00583339">
      <w:pPr>
        <w:pBdr>
          <w:top w:val="single" w:sz="2" w:space="4" w:color="0F6E56"/>
          <w:left w:val="single" w:sz="12" w:space="10" w:color="0F6E56"/>
          <w:bottom w:val="single" w:sz="2" w:space="4" w:color="0F6E56"/>
          <w:right w:val="single" w:sz="2" w:space="4" w:color="0F6E56"/>
        </w:pBdr>
        <w:shd w:val="clear" w:color="auto" w:fill="E1F5EE"/>
        <w:spacing w:before="80" w:after="100" w:line="340" w:lineRule="auto"/>
        <w:ind w:left="400"/>
        <w:jc w:val="both"/>
        <w:rPr>
          <w:rFonts w:ascii="Calibri" w:hAnsi="Calibri" w:cs="Calibri"/>
        </w:rPr>
      </w:pPr>
      <w:r w:rsidRPr="00583339">
        <w:rPr>
          <w:rFonts w:ascii="Calibri" w:hAnsi="Calibri" w:cs="Calibri"/>
          <w:b/>
          <w:bCs/>
          <w:color w:val="0F6E56"/>
          <w:sz w:val="20"/>
          <w:szCs w:val="20"/>
        </w:rPr>
        <w:t xml:space="preserve">[ADD]  </w:t>
      </w:r>
      <w:r w:rsidRPr="00583339">
        <w:rPr>
          <w:rFonts w:ascii="Calibri" w:hAnsi="Calibri" w:cs="Calibri"/>
          <w:i/>
          <w:iCs/>
          <w:sz w:val="20"/>
          <w:szCs w:val="20"/>
        </w:rPr>
        <w:t>This principle resolves what might appear to be a contradiction in our argument. An earlier, more polemical formulation of this paper (submitted as a provocation to this dialogue) suggested that 'formalisation destroys the system.' This was rhetorical excess. The more precise claim — and the one that accountable granularity captures — is that formalisation at the wrong level of granularity destroys adaptive capacity. Formalisation at the right level — the level of institutional consequence, not the level of underlying practice — is precisely what TGP makes possible. The sequence matters: understand the living system first, then design the governance layer.</w:t>
      </w:r>
    </w:p>
    <w:p w14:paraId="6C5C5453" w14:textId="77777777" w:rsidR="00ED5716" w:rsidRPr="00583339" w:rsidRDefault="00CF7F8C" w:rsidP="00583339">
      <w:pPr>
        <w:spacing w:before="80" w:after="100" w:line="340" w:lineRule="auto"/>
        <w:jc w:val="both"/>
        <w:rPr>
          <w:rFonts w:ascii="Calibri" w:hAnsi="Calibri" w:cs="Calibri"/>
        </w:rPr>
      </w:pPr>
      <w:r w:rsidRPr="00583339">
        <w:rPr>
          <w:rFonts w:ascii="Calibri" w:hAnsi="Calibri" w:cs="Calibri"/>
        </w:rPr>
        <w:t>This principle does not eliminate the pre-communicative layer. It makes its role visible and its relationship to formal acts explicit.</w:t>
      </w:r>
    </w:p>
    <w:p w14:paraId="2D1BF0D6" w14:textId="77777777" w:rsidR="00ED5716" w:rsidRPr="00583339" w:rsidRDefault="00ED5716" w:rsidP="00583339">
      <w:pPr>
        <w:spacing w:before="160"/>
        <w:jc w:val="both"/>
        <w:rPr>
          <w:rFonts w:ascii="Calibri" w:hAnsi="Calibri" w:cs="Calibri"/>
        </w:rPr>
      </w:pPr>
    </w:p>
    <w:p w14:paraId="23F2FED0" w14:textId="77777777" w:rsidR="00ED5716" w:rsidRPr="00583339" w:rsidRDefault="00CF7F8C" w:rsidP="00583339">
      <w:pPr>
        <w:pStyle w:val="Heading1"/>
        <w:jc w:val="both"/>
        <w:rPr>
          <w:rFonts w:ascii="Calibri" w:hAnsi="Calibri" w:cs="Calibri"/>
        </w:rPr>
      </w:pPr>
      <w:r w:rsidRPr="00583339">
        <w:rPr>
          <w:rFonts w:ascii="Calibri" w:hAnsi="Calibri" w:cs="Calibri"/>
          <w:color w:val="534AB7"/>
        </w:rPr>
        <w:t>5.  Junction work and the conditions of communicative action</w:t>
      </w:r>
    </w:p>
    <w:p w14:paraId="3C262676" w14:textId="77777777" w:rsidR="00ED5716" w:rsidRPr="00583339" w:rsidRDefault="00CF7F8C" w:rsidP="00583339">
      <w:pPr>
        <w:spacing w:before="80" w:after="100" w:line="340" w:lineRule="auto"/>
        <w:jc w:val="both"/>
        <w:rPr>
          <w:rFonts w:ascii="Calibri" w:hAnsi="Calibri" w:cs="Calibri"/>
        </w:rPr>
      </w:pPr>
      <w:r w:rsidRPr="00583339">
        <w:rPr>
          <w:rFonts w:ascii="Calibri" w:hAnsi="Calibri" w:cs="Calibri"/>
        </w:rPr>
        <w:t>The layered structure outlined above allows us to reinterpret what the Rovereto case reveals as its most distinctive feature: the presence of a specific form of work that is neither captured by existing systems nor adequately described by current communicative grammars.</w:t>
      </w:r>
    </w:p>
    <w:p w14:paraId="1E9E5FDA" w14:textId="77777777" w:rsidR="00ED5716" w:rsidRPr="00583339" w:rsidRDefault="00CF7F8C" w:rsidP="00583339">
      <w:pPr>
        <w:spacing w:before="80" w:after="100" w:line="340" w:lineRule="auto"/>
        <w:jc w:val="both"/>
        <w:rPr>
          <w:rFonts w:ascii="Calibri" w:hAnsi="Calibri" w:cs="Calibri"/>
        </w:rPr>
      </w:pPr>
      <w:r w:rsidRPr="00583339">
        <w:rPr>
          <w:rFonts w:ascii="Calibri" w:hAnsi="Calibri" w:cs="Calibri"/>
        </w:rPr>
        <w:t>This is what Piras and Zanutto describe as junction work: the labour of connecting practices, actors, and systems that do not share a common language. In the cardiology ward, this work is not distributed evenly. It concentrates in a particular actor — the senior nurse — who becomes the effective point of integration across otherwise disconnected domains.</w:t>
      </w:r>
    </w:p>
    <w:p w14:paraId="3CCFDFA6" w14:textId="77777777" w:rsidR="00ED5716" w:rsidRPr="00583339" w:rsidRDefault="00CF7F8C" w:rsidP="00583339">
      <w:pPr>
        <w:pStyle w:val="Heading2"/>
        <w:jc w:val="both"/>
        <w:rPr>
          <w:rFonts w:ascii="Calibri" w:hAnsi="Calibri" w:cs="Calibri"/>
        </w:rPr>
      </w:pPr>
      <w:r w:rsidRPr="00583339">
        <w:rPr>
          <w:rFonts w:ascii="Calibri" w:hAnsi="Calibri" w:cs="Calibri"/>
          <w:color w:val="534AB7"/>
        </w:rPr>
        <w:t>5.1  Beyond translation: operating across ontologies</w:t>
      </w:r>
    </w:p>
    <w:p w14:paraId="0DC3B8A7" w14:textId="77777777" w:rsidR="00ED5716" w:rsidRPr="00583339" w:rsidRDefault="00CF7F8C" w:rsidP="00583339">
      <w:pPr>
        <w:spacing w:before="80" w:after="100" w:line="340" w:lineRule="auto"/>
        <w:jc w:val="both"/>
        <w:rPr>
          <w:rFonts w:ascii="Calibri" w:hAnsi="Calibri" w:cs="Calibri"/>
        </w:rPr>
      </w:pPr>
      <w:r w:rsidRPr="00583339">
        <w:rPr>
          <w:rFonts w:ascii="Calibri" w:hAnsi="Calibri" w:cs="Calibri"/>
        </w:rPr>
        <w:t>Junction work is often described as translation. However, the Rovereto case suggests a stronger formulation. The nurse does not simply translate between stable representations; they operate across different ontological regimes:</w:t>
      </w:r>
    </w:p>
    <w:p w14:paraId="288F8DE0" w14:textId="77777777" w:rsidR="00ED5716" w:rsidRPr="00583339" w:rsidRDefault="00CF7F8C" w:rsidP="00583339">
      <w:pPr>
        <w:pBdr>
          <w:top w:val="single" w:sz="2" w:space="4" w:color="0F6E56"/>
          <w:left w:val="single" w:sz="12" w:space="10" w:color="0F6E56"/>
          <w:bottom w:val="single" w:sz="2" w:space="4" w:color="0F6E56"/>
          <w:right w:val="single" w:sz="2" w:space="4" w:color="0F6E56"/>
        </w:pBdr>
        <w:shd w:val="clear" w:color="auto" w:fill="E1F5EE"/>
        <w:spacing w:before="80" w:after="100" w:line="340" w:lineRule="auto"/>
        <w:ind w:left="400"/>
        <w:jc w:val="both"/>
        <w:rPr>
          <w:rFonts w:ascii="Calibri" w:hAnsi="Calibri" w:cs="Calibri"/>
        </w:rPr>
      </w:pPr>
      <w:r w:rsidRPr="00583339">
        <w:rPr>
          <w:rFonts w:ascii="Calibri" w:hAnsi="Calibri" w:cs="Calibri"/>
          <w:b/>
          <w:bCs/>
          <w:color w:val="0F6E56"/>
          <w:sz w:val="20"/>
          <w:szCs w:val="20"/>
        </w:rPr>
        <w:lastRenderedPageBreak/>
        <w:t xml:space="preserve">[ADD]  </w:t>
      </w:r>
      <w:r w:rsidRPr="00583339">
        <w:rPr>
          <w:rFonts w:ascii="Calibri" w:hAnsi="Calibri" w:cs="Calibri"/>
          <w:i/>
          <w:iCs/>
          <w:sz w:val="20"/>
          <w:szCs w:val="20"/>
        </w:rPr>
        <w:t>Before developing this argument, it is worth distinguishing junction work from three related concepts with which it is sometimes conflated in the CSCW and STS literature. Articulation work (Strauss, 1985; Gerson &amp; Star, 1986) refers to the labour of coordinating distributed pieces of work so that the whole functions as a system — it is always at least visible to those doing it, even if not recorded. Invisible work (Star &amp; Strauss, 1999) refers to labour that disappears from institutional records at the moment it succeeds — it may be visible to colleagues but is systematically excluded from metrics and accountability. Hidden work is a less technically precise term, used in the literature with varying meanings, sometimes overlapping with invisible work, sometimes indicating work deliberately kept off the record; we avoid it here for that reason. Junction work (Piras &amp; Zanutto, 2016) is distinct from all three: it is not merely coordination within a shared system (articulation), nor merely unrecorded labour (invisible), nor merely concealed. It is the active production of situated coherence across ontological registers that do not share a common language — across systems whose basic units of meaning differ, not merely whose formats or actors differ. The junction actor does not coordinate a shared system: they produce, moment by moment, the conditions under which a shared system can temporarily be said to exist.</w:t>
      </w:r>
    </w:p>
    <w:p w14:paraId="26428E7D" w14:textId="77777777" w:rsidR="00ED5716" w:rsidRPr="00583339" w:rsidRDefault="00CF7F8C" w:rsidP="00583339">
      <w:pPr>
        <w:pStyle w:val="ListParagraph"/>
        <w:numPr>
          <w:ilvl w:val="0"/>
          <w:numId w:val="2"/>
        </w:numPr>
        <w:spacing w:before="50" w:after="50" w:line="310" w:lineRule="auto"/>
        <w:jc w:val="both"/>
        <w:rPr>
          <w:rFonts w:ascii="Calibri" w:hAnsi="Calibri" w:cs="Calibri"/>
        </w:rPr>
      </w:pPr>
      <w:r w:rsidRPr="00583339">
        <w:rPr>
          <w:rFonts w:ascii="Calibri" w:hAnsi="Calibri" w:cs="Calibri"/>
        </w:rPr>
        <w:t>the technical regime of device signals and algorithmic thresholds</w:t>
      </w:r>
    </w:p>
    <w:p w14:paraId="62610928" w14:textId="77777777" w:rsidR="00ED5716" w:rsidRPr="00583339" w:rsidRDefault="00CF7F8C" w:rsidP="00583339">
      <w:pPr>
        <w:pStyle w:val="ListParagraph"/>
        <w:numPr>
          <w:ilvl w:val="0"/>
          <w:numId w:val="2"/>
        </w:numPr>
        <w:spacing w:before="50" w:after="50" w:line="310" w:lineRule="auto"/>
        <w:jc w:val="both"/>
        <w:rPr>
          <w:rFonts w:ascii="Calibri" w:hAnsi="Calibri" w:cs="Calibri"/>
        </w:rPr>
      </w:pPr>
      <w:r w:rsidRPr="00583339">
        <w:rPr>
          <w:rFonts w:ascii="Calibri" w:hAnsi="Calibri" w:cs="Calibri"/>
        </w:rPr>
        <w:t>the clinical regime of diagnosis and judgement</w:t>
      </w:r>
    </w:p>
    <w:p w14:paraId="3FA922C4" w14:textId="77777777" w:rsidR="00ED5716" w:rsidRPr="00583339" w:rsidRDefault="00CF7F8C" w:rsidP="00583339">
      <w:pPr>
        <w:pStyle w:val="ListParagraph"/>
        <w:numPr>
          <w:ilvl w:val="0"/>
          <w:numId w:val="2"/>
        </w:numPr>
        <w:spacing w:before="50" w:after="50" w:line="310" w:lineRule="auto"/>
        <w:jc w:val="both"/>
        <w:rPr>
          <w:rFonts w:ascii="Calibri" w:hAnsi="Calibri" w:cs="Calibri"/>
        </w:rPr>
      </w:pPr>
      <w:r w:rsidRPr="00583339">
        <w:rPr>
          <w:rFonts w:ascii="Calibri" w:hAnsi="Calibri" w:cs="Calibri"/>
        </w:rPr>
        <w:t>the administrative regime of record-keeping and compliance</w:t>
      </w:r>
    </w:p>
    <w:p w14:paraId="56A78DDF" w14:textId="77777777" w:rsidR="00ED5716" w:rsidRPr="00583339" w:rsidRDefault="00CF7F8C" w:rsidP="00583339">
      <w:pPr>
        <w:pStyle w:val="ListParagraph"/>
        <w:numPr>
          <w:ilvl w:val="0"/>
          <w:numId w:val="2"/>
        </w:numPr>
        <w:spacing w:before="50" w:after="50" w:line="310" w:lineRule="auto"/>
        <w:jc w:val="both"/>
        <w:rPr>
          <w:rFonts w:ascii="Calibri" w:hAnsi="Calibri" w:cs="Calibri"/>
        </w:rPr>
      </w:pPr>
      <w:r w:rsidRPr="00583339">
        <w:rPr>
          <w:rFonts w:ascii="Calibri" w:hAnsi="Calibri" w:cs="Calibri"/>
        </w:rPr>
        <w:t>the experiential regime of patient perception and concern</w:t>
      </w:r>
    </w:p>
    <w:p w14:paraId="74FA8797" w14:textId="77777777" w:rsidR="00ED5716" w:rsidRPr="00583339" w:rsidRDefault="00CF7F8C" w:rsidP="00583339">
      <w:pPr>
        <w:pBdr>
          <w:top w:val="single" w:sz="2" w:space="4" w:color="0F6E56"/>
          <w:left w:val="single" w:sz="12" w:space="10" w:color="0F6E56"/>
          <w:bottom w:val="single" w:sz="2" w:space="4" w:color="0F6E56"/>
          <w:right w:val="single" w:sz="2" w:space="4" w:color="0F6E56"/>
        </w:pBdr>
        <w:shd w:val="clear" w:color="auto" w:fill="E1F5EE"/>
        <w:spacing w:before="80" w:after="100" w:line="340" w:lineRule="auto"/>
        <w:ind w:left="400"/>
        <w:jc w:val="both"/>
        <w:rPr>
          <w:rFonts w:ascii="Calibri" w:hAnsi="Calibri" w:cs="Calibri"/>
        </w:rPr>
      </w:pPr>
      <w:r w:rsidRPr="00583339">
        <w:rPr>
          <w:rFonts w:ascii="Calibri" w:hAnsi="Calibri" w:cs="Calibri"/>
          <w:b/>
          <w:bCs/>
          <w:color w:val="0F6E56"/>
          <w:sz w:val="20"/>
          <w:szCs w:val="20"/>
        </w:rPr>
        <w:t xml:space="preserve">[ADD]  </w:t>
      </w:r>
      <w:r w:rsidRPr="00583339">
        <w:rPr>
          <w:rFonts w:ascii="Calibri" w:hAnsi="Calibri" w:cs="Calibri"/>
          <w:i/>
          <w:iCs/>
          <w:sz w:val="20"/>
          <w:szCs w:val="20"/>
        </w:rPr>
        <w:t>In practice, these regimes are instantiated in four distinct systems: the brand dashboards (technical), the ward's electronic records (clinical), the SIO (administrative), and the TreC (patient-facing). The nurse's junction work involves moving across all four in the course of a single working session — reading a device signal, closing a case on the SIO, escalating an alert to the clinical record, and responding to a patient message on the TreC. Each crossing involves a change of ontological register and a recodification of meaning.</w:t>
      </w:r>
    </w:p>
    <w:p w14:paraId="4A30950E" w14:textId="77777777" w:rsidR="00ED5716" w:rsidRPr="00583339" w:rsidRDefault="00CF7F8C" w:rsidP="00583339">
      <w:pPr>
        <w:spacing w:before="80" w:after="100" w:line="340" w:lineRule="auto"/>
        <w:jc w:val="both"/>
        <w:rPr>
          <w:rFonts w:ascii="Calibri" w:hAnsi="Calibri" w:cs="Calibri"/>
        </w:rPr>
      </w:pPr>
      <w:r w:rsidRPr="00583339">
        <w:rPr>
          <w:rFonts w:ascii="Calibri" w:hAnsi="Calibri" w:cs="Calibri"/>
        </w:rPr>
        <w:t>These regimes are not fully commensurable. The same situation can appear differently — and legitimately so — within each. The work of the junction actor is therefore not to achieve perfect translation, but to produce situated coherence sufficient for action.</w:t>
      </w:r>
    </w:p>
    <w:p w14:paraId="44D314D3" w14:textId="77777777" w:rsidR="00ED5716" w:rsidRPr="00583339" w:rsidRDefault="00CF7F8C" w:rsidP="00583339">
      <w:pPr>
        <w:pBdr>
          <w:top w:val="single" w:sz="2" w:space="4" w:color="0F6E56"/>
          <w:left w:val="single" w:sz="12" w:space="10" w:color="0F6E56"/>
          <w:bottom w:val="single" w:sz="2" w:space="4" w:color="0F6E56"/>
          <w:right w:val="single" w:sz="2" w:space="4" w:color="0F6E56"/>
        </w:pBdr>
        <w:shd w:val="clear" w:color="auto" w:fill="E1F5EE"/>
        <w:spacing w:before="80" w:after="100" w:line="340" w:lineRule="auto"/>
        <w:ind w:left="400"/>
        <w:jc w:val="both"/>
        <w:rPr>
          <w:rFonts w:ascii="Calibri" w:hAnsi="Calibri" w:cs="Calibri"/>
        </w:rPr>
      </w:pPr>
      <w:r w:rsidRPr="00583339">
        <w:rPr>
          <w:rFonts w:ascii="Calibri" w:hAnsi="Calibri" w:cs="Calibri"/>
          <w:b/>
          <w:bCs/>
          <w:color w:val="0F6E56"/>
          <w:sz w:val="20"/>
          <w:szCs w:val="20"/>
        </w:rPr>
        <w:t xml:space="preserve">[ADD]  </w:t>
      </w:r>
      <w:r w:rsidRPr="00583339">
        <w:rPr>
          <w:rFonts w:ascii="Calibri" w:hAnsi="Calibri" w:cs="Calibri"/>
          <w:i/>
          <w:iCs/>
          <w:sz w:val="20"/>
          <w:szCs w:val="20"/>
        </w:rPr>
        <w:t>Mol's concept of the body multiple (2002) is directly operative here. The cardiac condition of the patient exists simultaneously in at least three versions: the device version (an electrical signal with a flag), the clinical version (a case to be evaluated and closed or escalated), and the lived version (the patient's own experience of their health). These versions are not always compatible. When they diverge — when the device flags an alert but the patient feels well, or when the patient is frightened but all parameters are within range — the junction actor must produce a response that is coherent across all three registers at once. No current system supports this explicitly.</w:t>
      </w:r>
    </w:p>
    <w:p w14:paraId="70D2BB37" w14:textId="77777777" w:rsidR="00ED5716" w:rsidRPr="00583339" w:rsidRDefault="00CF7F8C" w:rsidP="00583339">
      <w:pPr>
        <w:pStyle w:val="Heading2"/>
        <w:jc w:val="both"/>
        <w:rPr>
          <w:rFonts w:ascii="Calibri" w:hAnsi="Calibri" w:cs="Calibri"/>
        </w:rPr>
      </w:pPr>
      <w:r w:rsidRPr="00583339">
        <w:rPr>
          <w:rFonts w:ascii="Calibri" w:hAnsi="Calibri" w:cs="Calibri"/>
          <w:color w:val="534AB7"/>
        </w:rPr>
        <w:t>5.2  The pre-communicative threshold</w:t>
      </w:r>
    </w:p>
    <w:p w14:paraId="5F6521A4" w14:textId="77777777" w:rsidR="00ED5716" w:rsidRPr="00583339" w:rsidRDefault="00CF7F8C" w:rsidP="00583339">
      <w:pPr>
        <w:spacing w:before="80" w:after="100" w:line="340" w:lineRule="auto"/>
        <w:jc w:val="both"/>
        <w:rPr>
          <w:rFonts w:ascii="Calibri" w:hAnsi="Calibri" w:cs="Calibri"/>
        </w:rPr>
      </w:pPr>
      <w:r w:rsidRPr="00583339">
        <w:rPr>
          <w:rFonts w:ascii="Calibri" w:hAnsi="Calibri" w:cs="Calibri"/>
        </w:rPr>
        <w:lastRenderedPageBreak/>
        <w:t>Crucially, this work occurs before the communicative act becomes institutionally visible. It is what allows an act to be performed at all.</w:t>
      </w:r>
    </w:p>
    <w:p w14:paraId="45C889BD" w14:textId="77777777" w:rsidR="00ED5716" w:rsidRPr="00583339" w:rsidRDefault="00CF7F8C" w:rsidP="00583339">
      <w:pPr>
        <w:spacing w:before="80" w:after="100" w:line="340" w:lineRule="auto"/>
        <w:jc w:val="both"/>
        <w:rPr>
          <w:rFonts w:ascii="Calibri" w:hAnsi="Calibri" w:cs="Calibri"/>
        </w:rPr>
      </w:pPr>
      <w:r w:rsidRPr="00583339">
        <w:rPr>
          <w:rFonts w:ascii="Calibri" w:hAnsi="Calibri" w:cs="Calibri"/>
        </w:rPr>
        <w:t>This has an important consequence for TGP. The current grammar presupposes an actor who is already in a position to perform a communicative act. It does not yet articulate the conditions under which that position is achieved.</w:t>
      </w:r>
    </w:p>
    <w:p w14:paraId="3958E67C" w14:textId="77777777" w:rsidR="00ED5716" w:rsidRPr="00583339" w:rsidRDefault="00CF7F8C" w:rsidP="00583339">
      <w:pPr>
        <w:spacing w:before="80" w:after="100" w:line="340" w:lineRule="auto"/>
        <w:jc w:val="both"/>
        <w:rPr>
          <w:rFonts w:ascii="Calibri" w:hAnsi="Calibri" w:cs="Calibri"/>
        </w:rPr>
      </w:pPr>
      <w:r w:rsidRPr="00583339">
        <w:rPr>
          <w:rFonts w:ascii="Calibri" w:hAnsi="Calibri" w:cs="Calibri"/>
        </w:rPr>
        <w:t>Junction work occupies precisely this threshold. It is the pre-communicative condition of possibility for accountable action.</w:t>
      </w:r>
    </w:p>
    <w:p w14:paraId="228F002F" w14:textId="77777777" w:rsidR="00ED5716" w:rsidRPr="00583339" w:rsidRDefault="00CF7F8C" w:rsidP="00583339">
      <w:pPr>
        <w:pBdr>
          <w:top w:val="single" w:sz="2" w:space="4" w:color="0F6E56"/>
          <w:left w:val="single" w:sz="12" w:space="10" w:color="0F6E56"/>
          <w:bottom w:val="single" w:sz="2" w:space="4" w:color="0F6E56"/>
          <w:right w:val="single" w:sz="2" w:space="4" w:color="0F6E56"/>
        </w:pBdr>
        <w:shd w:val="clear" w:color="auto" w:fill="E1F5EE"/>
        <w:spacing w:before="80" w:after="100" w:line="340" w:lineRule="auto"/>
        <w:ind w:left="400"/>
        <w:jc w:val="both"/>
        <w:rPr>
          <w:rFonts w:ascii="Calibri" w:hAnsi="Calibri" w:cs="Calibri"/>
        </w:rPr>
      </w:pPr>
      <w:r w:rsidRPr="00583339">
        <w:rPr>
          <w:rFonts w:ascii="Calibri" w:hAnsi="Calibri" w:cs="Calibri"/>
          <w:b/>
          <w:bCs/>
          <w:color w:val="0F6E56"/>
          <w:sz w:val="20"/>
          <w:szCs w:val="20"/>
        </w:rPr>
        <w:t xml:space="preserve">[ADD]  </w:t>
      </w:r>
      <w:r w:rsidRPr="00583339">
        <w:rPr>
          <w:rFonts w:ascii="Calibri" w:hAnsi="Calibri" w:cs="Calibri"/>
          <w:i/>
          <w:iCs/>
          <w:sz w:val="20"/>
          <w:szCs w:val="20"/>
        </w:rPr>
        <w:t>Galison's concept of the trading zone (1997) illuminates this threshold from a different angle. Trading zones are sites where communities with incompatible languages manage to collaborate without achieving theoretical consensus — through local pidgins, partial translations, good-enough shared vocabularies. In the Rovereto ward, the trading zone is not a place but a person. The senior nurse is the embodied trading zone — the site where the four ontological regimes are held together in sufficient coordination for the system to function.</w:t>
      </w:r>
    </w:p>
    <w:p w14:paraId="6306DC72" w14:textId="77777777" w:rsidR="00ED5716" w:rsidRPr="00583339" w:rsidRDefault="00CF7F8C" w:rsidP="00583339">
      <w:pPr>
        <w:pStyle w:val="Heading2"/>
        <w:jc w:val="both"/>
        <w:rPr>
          <w:rFonts w:ascii="Calibri" w:hAnsi="Calibri" w:cs="Calibri"/>
        </w:rPr>
      </w:pPr>
      <w:r w:rsidRPr="00583339">
        <w:rPr>
          <w:rFonts w:ascii="Calibri" w:hAnsi="Calibri" w:cs="Calibri"/>
          <w:color w:val="534AB7"/>
        </w:rPr>
        <w:t>5.3  Concentration of competence and structural load</w:t>
      </w:r>
    </w:p>
    <w:p w14:paraId="1943E54C" w14:textId="77777777" w:rsidR="00ED5716" w:rsidRPr="00583339" w:rsidRDefault="00CF7F8C" w:rsidP="00583339">
      <w:pPr>
        <w:spacing w:before="80" w:after="100" w:line="340" w:lineRule="auto"/>
        <w:jc w:val="both"/>
        <w:rPr>
          <w:rFonts w:ascii="Calibri" w:hAnsi="Calibri" w:cs="Calibri"/>
        </w:rPr>
      </w:pPr>
      <w:r w:rsidRPr="00583339">
        <w:rPr>
          <w:rFonts w:ascii="Calibri" w:hAnsi="Calibri" w:cs="Calibri"/>
        </w:rPr>
        <w:t>Because this work depends on accumulated competence, relational trust, and cross-domain familiarity, it does not distribute evenly. Instead, it concentrates around specific individuals. As the empirical material shows, complexity gravitates toward the point of greatest management capacity.</w:t>
      </w:r>
    </w:p>
    <w:p w14:paraId="5CC04CF4" w14:textId="77777777" w:rsidR="00ED5716" w:rsidRPr="00583339" w:rsidRDefault="00CF7F8C" w:rsidP="00583339">
      <w:pPr>
        <w:spacing w:before="80" w:after="100" w:line="340" w:lineRule="auto"/>
        <w:jc w:val="both"/>
        <w:rPr>
          <w:rFonts w:ascii="Calibri" w:hAnsi="Calibri" w:cs="Calibri"/>
        </w:rPr>
      </w:pPr>
      <w:r w:rsidRPr="00583339">
        <w:rPr>
          <w:rFonts w:ascii="Calibri" w:hAnsi="Calibri" w:cs="Calibri"/>
        </w:rPr>
        <w:t>This concentration produces a paradox. The system becomes more effective — because difficult cases are handled by the most competent actor — but also more fragile and more unjust. The load carried by the junction actor is neither formally recognised nor easily redistributed.</w:t>
      </w:r>
    </w:p>
    <w:p w14:paraId="58551D42" w14:textId="77777777" w:rsidR="00ED5716" w:rsidRPr="00583339" w:rsidRDefault="00CF7F8C" w:rsidP="00583339">
      <w:pPr>
        <w:pBdr>
          <w:top w:val="single" w:sz="2" w:space="4" w:color="0F6E56"/>
          <w:left w:val="single" w:sz="12" w:space="10" w:color="0F6E56"/>
          <w:bottom w:val="single" w:sz="2" w:space="4" w:color="0F6E56"/>
          <w:right w:val="single" w:sz="2" w:space="4" w:color="0F6E56"/>
        </w:pBdr>
        <w:shd w:val="clear" w:color="auto" w:fill="E1F5EE"/>
        <w:spacing w:before="80" w:after="100" w:line="340" w:lineRule="auto"/>
        <w:ind w:left="400"/>
        <w:jc w:val="both"/>
        <w:rPr>
          <w:rFonts w:ascii="Calibri" w:hAnsi="Calibri" w:cs="Calibri"/>
        </w:rPr>
      </w:pPr>
      <w:r w:rsidRPr="00583339">
        <w:rPr>
          <w:rFonts w:ascii="Calibri" w:hAnsi="Calibri" w:cs="Calibri"/>
          <w:b/>
          <w:bCs/>
          <w:color w:val="0F6E56"/>
          <w:sz w:val="20"/>
          <w:szCs w:val="20"/>
        </w:rPr>
        <w:t xml:space="preserve">[ADD]  </w:t>
      </w:r>
      <w:r w:rsidRPr="00583339">
        <w:rPr>
          <w:rFonts w:ascii="Calibri" w:hAnsi="Calibri" w:cs="Calibri"/>
          <w:i/>
          <w:iCs/>
          <w:sz w:val="20"/>
          <w:szCs w:val="20"/>
        </w:rPr>
        <w:t>The unjust dimension is not incidental. The senior nurse was, by their own account, content with this position initially — they were the centre of the network by vocation and expertise. The suffering emerged when colleagues at the same formal grade were added to the team: the dissonance between formal equivalence (same salary, same official responsibilities) and practical asymmetry (different informal load, different competence, different exposure) became visible and painful. This is what Susan Leigh Star and Anselm Strauss (1999) describe as torque: the torsion between classification and work that falls on those who cannot make their labour visible.</w:t>
      </w:r>
    </w:p>
    <w:p w14:paraId="5450470A" w14:textId="77777777" w:rsidR="00ED5716" w:rsidRPr="00583339" w:rsidRDefault="00CF7F8C" w:rsidP="00583339">
      <w:pPr>
        <w:pStyle w:val="Heading2"/>
        <w:jc w:val="both"/>
        <w:rPr>
          <w:rFonts w:ascii="Calibri" w:hAnsi="Calibri" w:cs="Calibri"/>
        </w:rPr>
      </w:pPr>
      <w:r w:rsidRPr="00583339">
        <w:rPr>
          <w:rFonts w:ascii="Calibri" w:hAnsi="Calibri" w:cs="Calibri"/>
          <w:color w:val="534AB7"/>
        </w:rPr>
        <w:t>5.4  From invisible work to institutional recognition</w:t>
      </w:r>
    </w:p>
    <w:p w14:paraId="26C23136" w14:textId="77777777" w:rsidR="00ED5716" w:rsidRPr="00583339" w:rsidRDefault="00CF7F8C" w:rsidP="00583339">
      <w:pPr>
        <w:spacing w:before="80" w:after="100" w:line="340" w:lineRule="auto"/>
        <w:jc w:val="both"/>
        <w:rPr>
          <w:rFonts w:ascii="Calibri" w:hAnsi="Calibri" w:cs="Calibri"/>
        </w:rPr>
      </w:pPr>
      <w:r w:rsidRPr="00583339">
        <w:rPr>
          <w:rFonts w:ascii="Calibri" w:hAnsi="Calibri" w:cs="Calibri"/>
        </w:rPr>
        <w:t>Traditional accounts, such as those of Susan Leigh Star and Anselm Strauss, describe this work as invisible. The Rovereto case confirms this, but also points to a limitation of that framing. As long as the work remains invisible, it cannot be governed, protected, or redistributed.</w:t>
      </w:r>
    </w:p>
    <w:p w14:paraId="02E6B1A6" w14:textId="77777777" w:rsidR="00ED5716" w:rsidRPr="00583339" w:rsidRDefault="00CF7F8C" w:rsidP="00583339">
      <w:pPr>
        <w:spacing w:before="80" w:after="100" w:line="340" w:lineRule="auto"/>
        <w:jc w:val="both"/>
        <w:rPr>
          <w:rFonts w:ascii="Calibri" w:hAnsi="Calibri" w:cs="Calibri"/>
        </w:rPr>
      </w:pPr>
      <w:r w:rsidRPr="00583339">
        <w:rPr>
          <w:rFonts w:ascii="Calibri" w:hAnsi="Calibri" w:cs="Calibri"/>
        </w:rPr>
        <w:t>The design challenge is therefore not to eliminate junction work, nor to fully formalise it, but to render its existence and load institutionally recognisable.</w:t>
      </w:r>
    </w:p>
    <w:p w14:paraId="6739D64A" w14:textId="77777777" w:rsidR="00ED5716" w:rsidRPr="00583339" w:rsidRDefault="00CF7F8C" w:rsidP="00583339">
      <w:pPr>
        <w:pStyle w:val="Heading2"/>
        <w:jc w:val="both"/>
        <w:rPr>
          <w:rFonts w:ascii="Calibri" w:hAnsi="Calibri" w:cs="Calibri"/>
        </w:rPr>
      </w:pPr>
      <w:r w:rsidRPr="00583339">
        <w:rPr>
          <w:rFonts w:ascii="Calibri" w:hAnsi="Calibri" w:cs="Calibri"/>
          <w:color w:val="534AB7"/>
        </w:rPr>
        <w:lastRenderedPageBreak/>
        <w:t>5.5  Implication for TGP: extending the grammar</w:t>
      </w:r>
    </w:p>
    <w:p w14:paraId="30DEBC70" w14:textId="77777777" w:rsidR="00ED5716" w:rsidRPr="00583339" w:rsidRDefault="00CF7F8C" w:rsidP="00583339">
      <w:pPr>
        <w:spacing w:before="80" w:after="100" w:line="340" w:lineRule="auto"/>
        <w:jc w:val="both"/>
        <w:rPr>
          <w:rFonts w:ascii="Calibri" w:hAnsi="Calibri" w:cs="Calibri"/>
        </w:rPr>
      </w:pPr>
      <w:r w:rsidRPr="00583339">
        <w:rPr>
          <w:rFonts w:ascii="Calibri" w:hAnsi="Calibri" w:cs="Calibri"/>
        </w:rPr>
        <w:t>This leads to a precise theoretical implication. TGP does not need to incorporate all pre-communicative work into its formal grammar. However, it must be able to:</w:t>
      </w:r>
    </w:p>
    <w:p w14:paraId="6BEFE036" w14:textId="77777777" w:rsidR="00ED5716" w:rsidRPr="00583339" w:rsidRDefault="00CF7F8C" w:rsidP="00583339">
      <w:pPr>
        <w:pStyle w:val="ListParagraph"/>
        <w:numPr>
          <w:ilvl w:val="0"/>
          <w:numId w:val="2"/>
        </w:numPr>
        <w:spacing w:before="50" w:after="50" w:line="310" w:lineRule="auto"/>
        <w:jc w:val="both"/>
        <w:rPr>
          <w:rFonts w:ascii="Calibri" w:hAnsi="Calibri" w:cs="Calibri"/>
        </w:rPr>
      </w:pPr>
      <w:r w:rsidRPr="00583339">
        <w:rPr>
          <w:rFonts w:ascii="Calibri" w:hAnsi="Calibri" w:cs="Calibri"/>
        </w:rPr>
        <w:t>recognise roles that operate across multiple communicative domains</w:t>
      </w:r>
    </w:p>
    <w:p w14:paraId="6C797B6A" w14:textId="77777777" w:rsidR="00ED5716" w:rsidRPr="00583339" w:rsidRDefault="00CF7F8C" w:rsidP="00583339">
      <w:pPr>
        <w:pStyle w:val="ListParagraph"/>
        <w:numPr>
          <w:ilvl w:val="0"/>
          <w:numId w:val="2"/>
        </w:numPr>
        <w:spacing w:before="50" w:after="50" w:line="310" w:lineRule="auto"/>
        <w:jc w:val="both"/>
        <w:rPr>
          <w:rFonts w:ascii="Calibri" w:hAnsi="Calibri" w:cs="Calibri"/>
        </w:rPr>
      </w:pPr>
      <w:r w:rsidRPr="00583339">
        <w:rPr>
          <w:rFonts w:ascii="Calibri" w:hAnsi="Calibri" w:cs="Calibri"/>
        </w:rPr>
        <w:t>define the perimeter within which such roles exercise discretion</w:t>
      </w:r>
    </w:p>
    <w:p w14:paraId="0B807ED5" w14:textId="77777777" w:rsidR="00ED5716" w:rsidRPr="00583339" w:rsidRDefault="00CF7F8C" w:rsidP="00583339">
      <w:pPr>
        <w:pStyle w:val="ListParagraph"/>
        <w:numPr>
          <w:ilvl w:val="0"/>
          <w:numId w:val="2"/>
        </w:numPr>
        <w:spacing w:before="50" w:after="50" w:line="310" w:lineRule="auto"/>
        <w:jc w:val="both"/>
        <w:rPr>
          <w:rFonts w:ascii="Calibri" w:hAnsi="Calibri" w:cs="Calibri"/>
        </w:rPr>
      </w:pPr>
      <w:r w:rsidRPr="00583339">
        <w:rPr>
          <w:rFonts w:ascii="Calibri" w:hAnsi="Calibri" w:cs="Calibri"/>
        </w:rPr>
        <w:t>make the load associated with this work visible and countable</w:t>
      </w:r>
    </w:p>
    <w:p w14:paraId="5B8E6574" w14:textId="77777777" w:rsidR="00ED5716" w:rsidRPr="00583339" w:rsidRDefault="00CF7F8C" w:rsidP="00583339">
      <w:pPr>
        <w:spacing w:before="80" w:after="100" w:line="340" w:lineRule="auto"/>
        <w:jc w:val="both"/>
        <w:rPr>
          <w:rFonts w:ascii="Calibri" w:hAnsi="Calibri" w:cs="Calibri"/>
        </w:rPr>
      </w:pPr>
      <w:r w:rsidRPr="00583339">
        <w:rPr>
          <w:rFonts w:ascii="Calibri" w:hAnsi="Calibri" w:cs="Calibri"/>
        </w:rPr>
        <w:t>This suggests an extension of the grammar — not at the level of replacing existing archetypes, but at the level of articulating the boundary between pre-communicative work and accountable action.</w:t>
      </w:r>
    </w:p>
    <w:p w14:paraId="00D6F633" w14:textId="77777777" w:rsidR="00ED5716" w:rsidRPr="00583339" w:rsidRDefault="00CF7F8C" w:rsidP="00583339">
      <w:pPr>
        <w:spacing w:before="80" w:after="100" w:line="340" w:lineRule="auto"/>
        <w:jc w:val="both"/>
        <w:rPr>
          <w:rFonts w:ascii="Calibri" w:hAnsi="Calibri" w:cs="Calibri"/>
        </w:rPr>
      </w:pPr>
      <w:r w:rsidRPr="00583339">
        <w:rPr>
          <w:rFonts w:ascii="Calibri" w:hAnsi="Calibri" w:cs="Calibri"/>
        </w:rPr>
        <w:t>In this sense, junction work is not an anomaly outside the scope of TGP. It is a necessary condition that the current articulation of the framework has not yet fully captured.</w:t>
      </w:r>
    </w:p>
    <w:p w14:paraId="51AFBAF3" w14:textId="77777777" w:rsidR="00ED5716" w:rsidRPr="00583339" w:rsidRDefault="00ED5716" w:rsidP="00583339">
      <w:pPr>
        <w:spacing w:before="160"/>
        <w:jc w:val="both"/>
        <w:rPr>
          <w:rFonts w:ascii="Calibri" w:hAnsi="Calibri" w:cs="Calibri"/>
        </w:rPr>
      </w:pPr>
    </w:p>
    <w:p w14:paraId="5DA3CD80" w14:textId="77777777" w:rsidR="00ED5716" w:rsidRPr="00583339" w:rsidRDefault="00CF7F8C" w:rsidP="00583339">
      <w:pPr>
        <w:pStyle w:val="Heading1"/>
        <w:jc w:val="both"/>
        <w:rPr>
          <w:rFonts w:ascii="Calibri" w:hAnsi="Calibri" w:cs="Calibri"/>
        </w:rPr>
      </w:pPr>
      <w:r w:rsidRPr="00583339">
        <w:rPr>
          <w:rFonts w:ascii="Calibri" w:hAnsi="Calibri" w:cs="Calibri"/>
          <w:color w:val="854F0B"/>
        </w:rPr>
        <w:t>6.  Design implications — extending the TGP grammar</w:t>
      </w:r>
    </w:p>
    <w:p w14:paraId="792F1C36" w14:textId="77777777" w:rsidR="00ED5716" w:rsidRPr="00583339" w:rsidRDefault="00CF7F8C" w:rsidP="00583339">
      <w:pPr>
        <w:spacing w:before="80" w:after="100" w:line="340" w:lineRule="auto"/>
        <w:jc w:val="both"/>
        <w:rPr>
          <w:rFonts w:ascii="Calibri" w:hAnsi="Calibri" w:cs="Calibri"/>
        </w:rPr>
      </w:pPr>
      <w:r w:rsidRPr="00583339">
        <w:rPr>
          <w:rFonts w:ascii="Calibri" w:hAnsi="Calibri" w:cs="Calibri"/>
        </w:rPr>
        <w:t>Martin's communicative grammar provides: PROPOSE, ASSERT, APPROVE, DELEGATE, ACKNOWLEDGE, REJECT. These archetypes presuppose human actors with explicit institutional roles performing acts within verifiable mandates. The Rovereto case reveals that this grammar is necessary but structurally incomplete in three respects: it has no vocabulary for AI actants and their proto-acts, no vocabulary for the junction worker's pre-communicative role, and no vocabulary for the invisible load that junction work generates. The following five archetypes are proposed as extensions.</w:t>
      </w:r>
    </w:p>
    <w:p w14:paraId="1F5A3EA7" w14:textId="77777777" w:rsidR="00ED5716" w:rsidRPr="00583339" w:rsidRDefault="00ED5716" w:rsidP="00583339">
      <w:pPr>
        <w:spacing w:before="80"/>
        <w:jc w:val="both"/>
        <w:rPr>
          <w:rFonts w:ascii="Calibri" w:hAnsi="Calibri" w:cs="Calibri"/>
        </w:rPr>
      </w:pPr>
    </w:p>
    <w:tbl>
      <w:tblPr>
        <w:tblW w:w="93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 w:type="dxa"/>
          <w:right w:w="10" w:type="dxa"/>
        </w:tblCellMar>
        <w:tblLook w:val="04A0" w:firstRow="1" w:lastRow="0" w:firstColumn="1" w:lastColumn="0" w:noHBand="0" w:noVBand="1"/>
      </w:tblPr>
      <w:tblGrid>
        <w:gridCol w:w="3120"/>
        <w:gridCol w:w="3120"/>
        <w:gridCol w:w="3120"/>
      </w:tblGrid>
      <w:tr w:rsidR="00ED5716" w:rsidRPr="00583339" w14:paraId="5ACDBF16" w14:textId="77777777">
        <w:trPr>
          <w:tblHeader/>
        </w:trPr>
        <w:tc>
          <w:tcPr>
            <w:tcW w:w="3120" w:type="dxa"/>
            <w:shd w:val="clear" w:color="auto" w:fill="444441"/>
            <w:tcMar>
              <w:top w:w="80" w:type="dxa"/>
              <w:left w:w="140" w:type="dxa"/>
              <w:bottom w:w="80" w:type="dxa"/>
              <w:right w:w="140" w:type="dxa"/>
            </w:tcMar>
          </w:tcPr>
          <w:p w14:paraId="64224A08" w14:textId="77777777" w:rsidR="00ED5716" w:rsidRPr="00583339" w:rsidRDefault="00CF7F8C" w:rsidP="00583339">
            <w:pPr>
              <w:jc w:val="both"/>
              <w:rPr>
                <w:rFonts w:ascii="Calibri" w:hAnsi="Calibri" w:cs="Calibri"/>
              </w:rPr>
            </w:pPr>
            <w:r w:rsidRPr="00583339">
              <w:rPr>
                <w:rFonts w:ascii="Calibri" w:hAnsi="Calibri" w:cs="Calibri"/>
                <w:b/>
                <w:bCs/>
                <w:color w:val="FFFFFF"/>
                <w:sz w:val="19"/>
                <w:szCs w:val="19"/>
              </w:rPr>
              <w:t>Archetype</w:t>
            </w:r>
          </w:p>
        </w:tc>
        <w:tc>
          <w:tcPr>
            <w:tcW w:w="3120" w:type="dxa"/>
            <w:shd w:val="clear" w:color="auto" w:fill="444441"/>
            <w:tcMar>
              <w:top w:w="80" w:type="dxa"/>
              <w:left w:w="140" w:type="dxa"/>
              <w:bottom w:w="80" w:type="dxa"/>
              <w:right w:w="140" w:type="dxa"/>
            </w:tcMar>
          </w:tcPr>
          <w:p w14:paraId="127F0C0C" w14:textId="77777777" w:rsidR="00ED5716" w:rsidRPr="00583339" w:rsidRDefault="00CF7F8C" w:rsidP="00583339">
            <w:pPr>
              <w:jc w:val="both"/>
              <w:rPr>
                <w:rFonts w:ascii="Calibri" w:hAnsi="Calibri" w:cs="Calibri"/>
              </w:rPr>
            </w:pPr>
            <w:r w:rsidRPr="00583339">
              <w:rPr>
                <w:rFonts w:ascii="Calibri" w:hAnsi="Calibri" w:cs="Calibri"/>
                <w:b/>
                <w:bCs/>
                <w:color w:val="FFFFFF"/>
                <w:sz w:val="19"/>
                <w:szCs w:val="19"/>
              </w:rPr>
              <w:t>Definition</w:t>
            </w:r>
          </w:p>
        </w:tc>
        <w:tc>
          <w:tcPr>
            <w:tcW w:w="3120" w:type="dxa"/>
            <w:shd w:val="clear" w:color="auto" w:fill="444441"/>
            <w:tcMar>
              <w:top w:w="80" w:type="dxa"/>
              <w:left w:w="140" w:type="dxa"/>
              <w:bottom w:w="80" w:type="dxa"/>
              <w:right w:w="140" w:type="dxa"/>
            </w:tcMar>
          </w:tcPr>
          <w:p w14:paraId="2EFDD47E" w14:textId="77777777" w:rsidR="00ED5716" w:rsidRPr="00583339" w:rsidRDefault="00CF7F8C" w:rsidP="00583339">
            <w:pPr>
              <w:jc w:val="both"/>
              <w:rPr>
                <w:rFonts w:ascii="Calibri" w:hAnsi="Calibri" w:cs="Calibri"/>
              </w:rPr>
            </w:pPr>
            <w:r w:rsidRPr="00583339">
              <w:rPr>
                <w:rFonts w:ascii="Calibri" w:hAnsi="Calibri" w:cs="Calibri"/>
                <w:b/>
                <w:bCs/>
                <w:color w:val="FFFFFF"/>
                <w:sz w:val="19"/>
                <w:szCs w:val="19"/>
              </w:rPr>
              <w:t>Protects</w:t>
            </w:r>
          </w:p>
        </w:tc>
      </w:tr>
      <w:tr w:rsidR="00ED5716" w:rsidRPr="00583339" w14:paraId="5620054A" w14:textId="77777777">
        <w:tc>
          <w:tcPr>
            <w:tcW w:w="3120" w:type="dxa"/>
            <w:shd w:val="clear" w:color="auto" w:fill="EEEDFE"/>
            <w:tcMar>
              <w:top w:w="80" w:type="dxa"/>
              <w:left w:w="140" w:type="dxa"/>
              <w:bottom w:w="80" w:type="dxa"/>
              <w:right w:w="140" w:type="dxa"/>
            </w:tcMar>
          </w:tcPr>
          <w:p w14:paraId="22289C9D" w14:textId="77777777" w:rsidR="00ED5716" w:rsidRPr="00583339" w:rsidRDefault="00CF7F8C" w:rsidP="00583339">
            <w:pPr>
              <w:spacing w:before="30" w:after="30" w:line="290" w:lineRule="auto"/>
              <w:jc w:val="both"/>
              <w:rPr>
                <w:rFonts w:ascii="Calibri" w:hAnsi="Calibri" w:cs="Calibri"/>
              </w:rPr>
            </w:pPr>
            <w:r w:rsidRPr="00583339">
              <w:rPr>
                <w:rFonts w:ascii="Calibri" w:hAnsi="Calibri" w:cs="Calibri"/>
                <w:b/>
                <w:bCs/>
                <w:color w:val="3B6D11"/>
                <w:sz w:val="18"/>
                <w:szCs w:val="18"/>
              </w:rPr>
              <w:t xml:space="preserve">[NEW]  </w:t>
            </w:r>
            <w:r w:rsidRPr="00583339">
              <w:rPr>
                <w:rFonts w:ascii="Calibri" w:hAnsi="Calibri" w:cs="Calibri"/>
                <w:b/>
                <w:bCs/>
                <w:color w:val="534AB7"/>
                <w:sz w:val="19"/>
                <w:szCs w:val="19"/>
              </w:rPr>
              <w:t>RATIFY</w:t>
            </w:r>
          </w:p>
        </w:tc>
        <w:tc>
          <w:tcPr>
            <w:tcW w:w="3120" w:type="dxa"/>
            <w:shd w:val="clear" w:color="auto" w:fill="EEEDFE"/>
            <w:tcMar>
              <w:top w:w="80" w:type="dxa"/>
              <w:left w:w="140" w:type="dxa"/>
              <w:bottom w:w="80" w:type="dxa"/>
              <w:right w:w="140" w:type="dxa"/>
            </w:tcMar>
          </w:tcPr>
          <w:p w14:paraId="0B0D02EA" w14:textId="77777777" w:rsidR="00ED5716" w:rsidRPr="00583339" w:rsidRDefault="00CF7F8C" w:rsidP="00583339">
            <w:pPr>
              <w:spacing w:before="30" w:after="30" w:line="290" w:lineRule="auto"/>
              <w:jc w:val="both"/>
              <w:rPr>
                <w:rFonts w:ascii="Calibri" w:hAnsi="Calibri" w:cs="Calibri"/>
              </w:rPr>
            </w:pPr>
            <w:r w:rsidRPr="00583339">
              <w:rPr>
                <w:rFonts w:ascii="Calibri" w:hAnsi="Calibri" w:cs="Calibri"/>
                <w:color w:val="534AB7"/>
                <w:sz w:val="19"/>
                <w:szCs w:val="19"/>
              </w:rPr>
              <w:t>A human actor formally assumes a proto-act produced by AI or algorithm, rendering it institutionally valid and attributable.</w:t>
            </w:r>
          </w:p>
        </w:tc>
        <w:tc>
          <w:tcPr>
            <w:tcW w:w="3120" w:type="dxa"/>
            <w:shd w:val="clear" w:color="auto" w:fill="EEEDFE"/>
            <w:tcMar>
              <w:top w:w="80" w:type="dxa"/>
              <w:left w:w="140" w:type="dxa"/>
              <w:bottom w:w="80" w:type="dxa"/>
              <w:right w:w="140" w:type="dxa"/>
            </w:tcMar>
          </w:tcPr>
          <w:p w14:paraId="0D357040" w14:textId="77777777" w:rsidR="00ED5716" w:rsidRPr="00583339" w:rsidRDefault="00CF7F8C" w:rsidP="00583339">
            <w:pPr>
              <w:spacing w:before="30" w:after="30" w:line="290" w:lineRule="auto"/>
              <w:jc w:val="both"/>
              <w:rPr>
                <w:rFonts w:ascii="Calibri" w:hAnsi="Calibri" w:cs="Calibri"/>
              </w:rPr>
            </w:pPr>
            <w:r w:rsidRPr="00583339">
              <w:rPr>
                <w:rFonts w:ascii="Calibri" w:hAnsi="Calibri" w:cs="Calibri"/>
                <w:color w:val="534AB7"/>
                <w:sz w:val="19"/>
                <w:szCs w:val="19"/>
              </w:rPr>
              <w:t>Clinical accountability for automated decisions</w:t>
            </w:r>
          </w:p>
        </w:tc>
      </w:tr>
      <w:tr w:rsidR="00ED5716" w:rsidRPr="00583339" w14:paraId="19277595" w14:textId="77777777">
        <w:tc>
          <w:tcPr>
            <w:tcW w:w="3120" w:type="dxa"/>
            <w:shd w:val="clear" w:color="auto" w:fill="FAEEDA"/>
            <w:tcMar>
              <w:top w:w="80" w:type="dxa"/>
              <w:left w:w="140" w:type="dxa"/>
              <w:bottom w:w="80" w:type="dxa"/>
              <w:right w:w="140" w:type="dxa"/>
            </w:tcMar>
          </w:tcPr>
          <w:p w14:paraId="2577D102" w14:textId="77777777" w:rsidR="00ED5716" w:rsidRPr="00583339" w:rsidRDefault="00CF7F8C" w:rsidP="00583339">
            <w:pPr>
              <w:spacing w:before="30" w:after="30" w:line="290" w:lineRule="auto"/>
              <w:jc w:val="both"/>
              <w:rPr>
                <w:rFonts w:ascii="Calibri" w:hAnsi="Calibri" w:cs="Calibri"/>
              </w:rPr>
            </w:pPr>
            <w:r w:rsidRPr="00583339">
              <w:rPr>
                <w:rFonts w:ascii="Calibri" w:hAnsi="Calibri" w:cs="Calibri"/>
                <w:b/>
                <w:bCs/>
                <w:color w:val="3B6D11"/>
                <w:sz w:val="18"/>
                <w:szCs w:val="18"/>
              </w:rPr>
              <w:t xml:space="preserve">[NEW]  </w:t>
            </w:r>
            <w:r w:rsidRPr="00583339">
              <w:rPr>
                <w:rFonts w:ascii="Calibri" w:hAnsi="Calibri" w:cs="Calibri"/>
                <w:b/>
                <w:bCs/>
                <w:color w:val="854F0B"/>
                <w:sz w:val="19"/>
                <w:szCs w:val="19"/>
              </w:rPr>
              <w:t>SUSPEND</w:t>
            </w:r>
          </w:p>
        </w:tc>
        <w:tc>
          <w:tcPr>
            <w:tcW w:w="3120" w:type="dxa"/>
            <w:shd w:val="clear" w:color="auto" w:fill="FAEEDA"/>
            <w:tcMar>
              <w:top w:w="80" w:type="dxa"/>
              <w:left w:w="140" w:type="dxa"/>
              <w:bottom w:w="80" w:type="dxa"/>
              <w:right w:w="140" w:type="dxa"/>
            </w:tcMar>
          </w:tcPr>
          <w:p w14:paraId="009A0D80" w14:textId="77777777" w:rsidR="00ED5716" w:rsidRPr="00583339" w:rsidRDefault="00CF7F8C" w:rsidP="00583339">
            <w:pPr>
              <w:spacing w:before="30" w:after="30" w:line="290" w:lineRule="auto"/>
              <w:jc w:val="both"/>
              <w:rPr>
                <w:rFonts w:ascii="Calibri" w:hAnsi="Calibri" w:cs="Calibri"/>
              </w:rPr>
            </w:pPr>
            <w:r w:rsidRPr="00583339">
              <w:rPr>
                <w:rFonts w:ascii="Calibri" w:hAnsi="Calibri" w:cs="Calibri"/>
                <w:color w:val="854F0B"/>
                <w:sz w:val="19"/>
                <w:szCs w:val="19"/>
              </w:rPr>
              <w:t>A case left open with an explicit typed rationale, distinguishing unresolvable situations from omission or negligence.</w:t>
            </w:r>
          </w:p>
        </w:tc>
        <w:tc>
          <w:tcPr>
            <w:tcW w:w="3120" w:type="dxa"/>
            <w:shd w:val="clear" w:color="auto" w:fill="FAEEDA"/>
            <w:tcMar>
              <w:top w:w="80" w:type="dxa"/>
              <w:left w:w="140" w:type="dxa"/>
              <w:bottom w:w="80" w:type="dxa"/>
              <w:right w:w="140" w:type="dxa"/>
            </w:tcMar>
          </w:tcPr>
          <w:p w14:paraId="31049DD3" w14:textId="77777777" w:rsidR="00ED5716" w:rsidRPr="00583339" w:rsidRDefault="00CF7F8C" w:rsidP="00583339">
            <w:pPr>
              <w:spacing w:before="30" w:after="30" w:line="290" w:lineRule="auto"/>
              <w:jc w:val="both"/>
              <w:rPr>
                <w:rFonts w:ascii="Calibri" w:hAnsi="Calibri" w:cs="Calibri"/>
              </w:rPr>
            </w:pPr>
            <w:r w:rsidRPr="00583339">
              <w:rPr>
                <w:rFonts w:ascii="Calibri" w:hAnsi="Calibri" w:cs="Calibri"/>
                <w:color w:val="854F0B"/>
                <w:sz w:val="19"/>
                <w:szCs w:val="19"/>
              </w:rPr>
              <w:t>Traceability of the unresolved</w:t>
            </w:r>
          </w:p>
        </w:tc>
      </w:tr>
      <w:tr w:rsidR="00ED5716" w:rsidRPr="00583339" w14:paraId="69CB0C0E" w14:textId="77777777">
        <w:tc>
          <w:tcPr>
            <w:tcW w:w="3120" w:type="dxa"/>
            <w:shd w:val="clear" w:color="auto" w:fill="E1F5EE"/>
            <w:tcMar>
              <w:top w:w="80" w:type="dxa"/>
              <w:left w:w="140" w:type="dxa"/>
              <w:bottom w:w="80" w:type="dxa"/>
              <w:right w:w="140" w:type="dxa"/>
            </w:tcMar>
          </w:tcPr>
          <w:p w14:paraId="19D69083" w14:textId="77777777" w:rsidR="00ED5716" w:rsidRPr="00583339" w:rsidRDefault="00CF7F8C" w:rsidP="00583339">
            <w:pPr>
              <w:spacing w:before="30" w:after="30" w:line="290" w:lineRule="auto"/>
              <w:jc w:val="both"/>
              <w:rPr>
                <w:rFonts w:ascii="Calibri" w:hAnsi="Calibri" w:cs="Calibri"/>
              </w:rPr>
            </w:pPr>
            <w:r w:rsidRPr="00583339">
              <w:rPr>
                <w:rFonts w:ascii="Calibri" w:hAnsi="Calibri" w:cs="Calibri"/>
                <w:b/>
                <w:bCs/>
                <w:color w:val="3B6D11"/>
                <w:sz w:val="18"/>
                <w:szCs w:val="18"/>
              </w:rPr>
              <w:t xml:space="preserve">[NEW]  </w:t>
            </w:r>
            <w:r w:rsidRPr="00583339">
              <w:rPr>
                <w:rFonts w:ascii="Calibri" w:hAnsi="Calibri" w:cs="Calibri"/>
                <w:b/>
                <w:bCs/>
                <w:color w:val="0F6E56"/>
                <w:sz w:val="19"/>
                <w:szCs w:val="19"/>
              </w:rPr>
              <w:t>JUNCTION</w:t>
            </w:r>
          </w:p>
        </w:tc>
        <w:tc>
          <w:tcPr>
            <w:tcW w:w="3120" w:type="dxa"/>
            <w:shd w:val="clear" w:color="auto" w:fill="E1F5EE"/>
            <w:tcMar>
              <w:top w:w="80" w:type="dxa"/>
              <w:left w:w="140" w:type="dxa"/>
              <w:bottom w:w="80" w:type="dxa"/>
              <w:right w:w="140" w:type="dxa"/>
            </w:tcMar>
          </w:tcPr>
          <w:p w14:paraId="5772B656" w14:textId="77777777" w:rsidR="00ED5716" w:rsidRPr="00583339" w:rsidRDefault="00CF7F8C" w:rsidP="00583339">
            <w:pPr>
              <w:spacing w:before="30" w:after="30" w:line="290" w:lineRule="auto"/>
              <w:jc w:val="both"/>
              <w:rPr>
                <w:rFonts w:ascii="Calibri" w:hAnsi="Calibri" w:cs="Calibri"/>
              </w:rPr>
            </w:pPr>
            <w:r w:rsidRPr="00583339">
              <w:rPr>
                <w:rFonts w:ascii="Calibri" w:hAnsi="Calibri" w:cs="Calibri"/>
                <w:color w:val="0F6E56"/>
                <w:sz w:val="19"/>
                <w:szCs w:val="19"/>
              </w:rPr>
              <w:t>A formally recognised role for the actor who translates across ontological registers — technical, clinical, administrative, patient-facing.</w:t>
            </w:r>
          </w:p>
        </w:tc>
        <w:tc>
          <w:tcPr>
            <w:tcW w:w="3120" w:type="dxa"/>
            <w:shd w:val="clear" w:color="auto" w:fill="E1F5EE"/>
            <w:tcMar>
              <w:top w:w="80" w:type="dxa"/>
              <w:left w:w="140" w:type="dxa"/>
              <w:bottom w:w="80" w:type="dxa"/>
              <w:right w:w="140" w:type="dxa"/>
            </w:tcMar>
          </w:tcPr>
          <w:p w14:paraId="66C9E109" w14:textId="77777777" w:rsidR="00ED5716" w:rsidRPr="00583339" w:rsidRDefault="00CF7F8C" w:rsidP="00583339">
            <w:pPr>
              <w:spacing w:before="30" w:after="30" w:line="290" w:lineRule="auto"/>
              <w:jc w:val="both"/>
              <w:rPr>
                <w:rFonts w:ascii="Calibri" w:hAnsi="Calibri" w:cs="Calibri"/>
              </w:rPr>
            </w:pPr>
            <w:r w:rsidRPr="00583339">
              <w:rPr>
                <w:rFonts w:ascii="Calibri" w:hAnsi="Calibri" w:cs="Calibri"/>
                <w:color w:val="0F6E56"/>
                <w:sz w:val="19"/>
                <w:szCs w:val="19"/>
              </w:rPr>
              <w:t>The invisible worker; prevents single-point-of-failure</w:t>
            </w:r>
          </w:p>
        </w:tc>
      </w:tr>
      <w:tr w:rsidR="00ED5716" w:rsidRPr="00583339" w14:paraId="7F776630" w14:textId="77777777">
        <w:tc>
          <w:tcPr>
            <w:tcW w:w="3120" w:type="dxa"/>
            <w:shd w:val="clear" w:color="auto" w:fill="FAECE7"/>
            <w:tcMar>
              <w:top w:w="80" w:type="dxa"/>
              <w:left w:w="140" w:type="dxa"/>
              <w:bottom w:w="80" w:type="dxa"/>
              <w:right w:w="140" w:type="dxa"/>
            </w:tcMar>
          </w:tcPr>
          <w:p w14:paraId="2D9A639B" w14:textId="77777777" w:rsidR="00ED5716" w:rsidRPr="00583339" w:rsidRDefault="00CF7F8C" w:rsidP="00583339">
            <w:pPr>
              <w:spacing w:before="30" w:after="30" w:line="290" w:lineRule="auto"/>
              <w:jc w:val="both"/>
              <w:rPr>
                <w:rFonts w:ascii="Calibri" w:hAnsi="Calibri" w:cs="Calibri"/>
              </w:rPr>
            </w:pPr>
            <w:r w:rsidRPr="00583339">
              <w:rPr>
                <w:rFonts w:ascii="Calibri" w:hAnsi="Calibri" w:cs="Calibri"/>
                <w:b/>
                <w:bCs/>
                <w:color w:val="3B6D11"/>
                <w:sz w:val="18"/>
                <w:szCs w:val="18"/>
              </w:rPr>
              <w:t xml:space="preserve">[NEW]  </w:t>
            </w:r>
            <w:r w:rsidRPr="00583339">
              <w:rPr>
                <w:rFonts w:ascii="Calibri" w:hAnsi="Calibri" w:cs="Calibri"/>
                <w:b/>
                <w:bCs/>
                <w:color w:val="C0392B"/>
                <w:sz w:val="19"/>
                <w:szCs w:val="19"/>
              </w:rPr>
              <w:t>DISCRETION</w:t>
            </w:r>
          </w:p>
        </w:tc>
        <w:tc>
          <w:tcPr>
            <w:tcW w:w="3120" w:type="dxa"/>
            <w:shd w:val="clear" w:color="auto" w:fill="FAECE7"/>
            <w:tcMar>
              <w:top w:w="80" w:type="dxa"/>
              <w:left w:w="140" w:type="dxa"/>
              <w:bottom w:w="80" w:type="dxa"/>
              <w:right w:w="140" w:type="dxa"/>
            </w:tcMar>
          </w:tcPr>
          <w:p w14:paraId="16EC0814" w14:textId="77777777" w:rsidR="00ED5716" w:rsidRPr="00583339" w:rsidRDefault="00CF7F8C" w:rsidP="00583339">
            <w:pPr>
              <w:spacing w:before="30" w:after="30" w:line="290" w:lineRule="auto"/>
              <w:jc w:val="both"/>
              <w:rPr>
                <w:rFonts w:ascii="Calibri" w:hAnsi="Calibri" w:cs="Calibri"/>
              </w:rPr>
            </w:pPr>
            <w:r w:rsidRPr="00583339">
              <w:rPr>
                <w:rFonts w:ascii="Calibri" w:hAnsi="Calibri" w:cs="Calibri"/>
                <w:color w:val="C0392B"/>
                <w:sz w:val="19"/>
                <w:szCs w:val="19"/>
              </w:rPr>
              <w:t xml:space="preserve">Discretionary judgement exercised within an explicitly defined, institutionally endorsed perimeter — </w:t>
            </w:r>
            <w:r w:rsidRPr="00583339">
              <w:rPr>
                <w:rFonts w:ascii="Calibri" w:hAnsi="Calibri" w:cs="Calibri"/>
                <w:color w:val="C0392B"/>
                <w:sz w:val="19"/>
                <w:szCs w:val="19"/>
              </w:rPr>
              <w:lastRenderedPageBreak/>
              <w:t>without requiring a prior typed act for each decision.</w:t>
            </w:r>
          </w:p>
        </w:tc>
        <w:tc>
          <w:tcPr>
            <w:tcW w:w="3120" w:type="dxa"/>
            <w:shd w:val="clear" w:color="auto" w:fill="FAECE7"/>
            <w:tcMar>
              <w:top w:w="80" w:type="dxa"/>
              <w:left w:w="140" w:type="dxa"/>
              <w:bottom w:w="80" w:type="dxa"/>
              <w:right w:w="140" w:type="dxa"/>
            </w:tcMar>
          </w:tcPr>
          <w:p w14:paraId="77FEA7C7" w14:textId="77777777" w:rsidR="00ED5716" w:rsidRPr="00583339" w:rsidRDefault="00CF7F8C" w:rsidP="00583339">
            <w:pPr>
              <w:spacing w:before="30" w:after="30" w:line="290" w:lineRule="auto"/>
              <w:jc w:val="both"/>
              <w:rPr>
                <w:rFonts w:ascii="Calibri" w:hAnsi="Calibri" w:cs="Calibri"/>
              </w:rPr>
            </w:pPr>
            <w:r w:rsidRPr="00583339">
              <w:rPr>
                <w:rFonts w:ascii="Calibri" w:hAnsi="Calibri" w:cs="Calibri"/>
                <w:color w:val="C0392B"/>
                <w:sz w:val="19"/>
                <w:szCs w:val="19"/>
              </w:rPr>
              <w:lastRenderedPageBreak/>
              <w:t>The senior from legal and professional exposure</w:t>
            </w:r>
          </w:p>
        </w:tc>
      </w:tr>
      <w:tr w:rsidR="00ED5716" w:rsidRPr="00583339" w14:paraId="7CA0A283" w14:textId="77777777">
        <w:tc>
          <w:tcPr>
            <w:tcW w:w="3120" w:type="dxa"/>
            <w:shd w:val="clear" w:color="auto" w:fill="F1EFE8"/>
            <w:tcMar>
              <w:top w:w="80" w:type="dxa"/>
              <w:left w:w="140" w:type="dxa"/>
              <w:bottom w:w="80" w:type="dxa"/>
              <w:right w:w="140" w:type="dxa"/>
            </w:tcMar>
          </w:tcPr>
          <w:p w14:paraId="22984B08" w14:textId="77777777" w:rsidR="00ED5716" w:rsidRPr="00583339" w:rsidRDefault="00CF7F8C" w:rsidP="00583339">
            <w:pPr>
              <w:spacing w:before="30" w:after="30" w:line="290" w:lineRule="auto"/>
              <w:jc w:val="both"/>
              <w:rPr>
                <w:rFonts w:ascii="Calibri" w:hAnsi="Calibri" w:cs="Calibri"/>
              </w:rPr>
            </w:pPr>
            <w:r w:rsidRPr="00583339">
              <w:rPr>
                <w:rFonts w:ascii="Calibri" w:hAnsi="Calibri" w:cs="Calibri"/>
                <w:b/>
                <w:bCs/>
                <w:color w:val="3B6D11"/>
                <w:sz w:val="18"/>
                <w:szCs w:val="18"/>
              </w:rPr>
              <w:t xml:space="preserve">[NEW]  </w:t>
            </w:r>
            <w:r w:rsidRPr="00583339">
              <w:rPr>
                <w:rFonts w:ascii="Calibri" w:hAnsi="Calibri" w:cs="Calibri"/>
                <w:b/>
                <w:bCs/>
                <w:sz w:val="19"/>
                <w:szCs w:val="19"/>
              </w:rPr>
              <w:t>ABSORB</w:t>
            </w:r>
          </w:p>
        </w:tc>
        <w:tc>
          <w:tcPr>
            <w:tcW w:w="3120" w:type="dxa"/>
            <w:shd w:val="clear" w:color="auto" w:fill="F1EFE8"/>
            <w:tcMar>
              <w:top w:w="80" w:type="dxa"/>
              <w:left w:w="140" w:type="dxa"/>
              <w:bottom w:w="80" w:type="dxa"/>
              <w:right w:w="140" w:type="dxa"/>
            </w:tcMar>
          </w:tcPr>
          <w:p w14:paraId="478334AB" w14:textId="77777777" w:rsidR="00ED5716" w:rsidRPr="00583339" w:rsidRDefault="00CF7F8C" w:rsidP="00583339">
            <w:pPr>
              <w:spacing w:before="30" w:after="30" w:line="290" w:lineRule="auto"/>
              <w:jc w:val="both"/>
              <w:rPr>
                <w:rFonts w:ascii="Calibri" w:hAnsi="Calibri" w:cs="Calibri"/>
              </w:rPr>
            </w:pPr>
            <w:r w:rsidRPr="00583339">
              <w:rPr>
                <w:rFonts w:ascii="Calibri" w:hAnsi="Calibri" w:cs="Calibri"/>
                <w:sz w:val="19"/>
                <w:szCs w:val="19"/>
              </w:rPr>
              <w:t>An out-of-protocol request — logistical, relational, or anxious — recorded as handled, making the invisible load countable.</w:t>
            </w:r>
          </w:p>
        </w:tc>
        <w:tc>
          <w:tcPr>
            <w:tcW w:w="3120" w:type="dxa"/>
            <w:shd w:val="clear" w:color="auto" w:fill="F1EFE8"/>
            <w:tcMar>
              <w:top w:w="80" w:type="dxa"/>
              <w:left w:w="140" w:type="dxa"/>
              <w:bottom w:w="80" w:type="dxa"/>
              <w:right w:w="140" w:type="dxa"/>
            </w:tcMar>
          </w:tcPr>
          <w:p w14:paraId="0F8857E5" w14:textId="77777777" w:rsidR="00ED5716" w:rsidRPr="00583339" w:rsidRDefault="00CF7F8C" w:rsidP="00583339">
            <w:pPr>
              <w:spacing w:before="30" w:after="30" w:line="290" w:lineRule="auto"/>
              <w:jc w:val="both"/>
              <w:rPr>
                <w:rFonts w:ascii="Calibri" w:hAnsi="Calibri" w:cs="Calibri"/>
              </w:rPr>
            </w:pPr>
            <w:r w:rsidRPr="00583339">
              <w:rPr>
                <w:rFonts w:ascii="Calibri" w:hAnsi="Calibri" w:cs="Calibri"/>
                <w:sz w:val="19"/>
                <w:szCs w:val="19"/>
              </w:rPr>
              <w:t>Evidence base for workload redistribution</w:t>
            </w:r>
          </w:p>
        </w:tc>
      </w:tr>
    </w:tbl>
    <w:p w14:paraId="39876FE1" w14:textId="77777777" w:rsidR="00ED5716" w:rsidRPr="00583339" w:rsidRDefault="00ED5716" w:rsidP="00583339">
      <w:pPr>
        <w:spacing w:before="80"/>
        <w:jc w:val="both"/>
        <w:rPr>
          <w:rFonts w:ascii="Calibri" w:hAnsi="Calibri" w:cs="Calibri"/>
        </w:rPr>
      </w:pPr>
    </w:p>
    <w:p w14:paraId="1BDBE0FC" w14:textId="77777777" w:rsidR="00ED5716" w:rsidRPr="00583339" w:rsidRDefault="00CF7F8C" w:rsidP="00583339">
      <w:pPr>
        <w:spacing w:before="80" w:after="100" w:line="340" w:lineRule="auto"/>
        <w:jc w:val="both"/>
        <w:rPr>
          <w:rFonts w:ascii="Calibri" w:hAnsi="Calibri" w:cs="Calibri"/>
        </w:rPr>
      </w:pPr>
      <w:r w:rsidRPr="00583339">
        <w:rPr>
          <w:rFonts w:ascii="Calibri" w:hAnsi="Calibri" w:cs="Calibri"/>
        </w:rPr>
        <w:t>Of these, RATIFY is the most urgent for any AI-integrated clinical system. Without it, every proto-act generated by an algorithm remains institutionally suspended. The clinician who proceeds without explicitly ratifying is not exercising independent judgement — they are absorbing a prior non-human decision without knowing it. RATIFY makes the human-AI handoff architecturally visible and attributable. It is, in Latour's terms, the moment at which the interpretant pre-stabilised by the AI actant is either enrolled into the institutional network or contested.</w:t>
      </w:r>
    </w:p>
    <w:p w14:paraId="5D52D9A5" w14:textId="77777777" w:rsidR="00ED5716" w:rsidRPr="00583339" w:rsidRDefault="00CF7F8C" w:rsidP="00583339">
      <w:pPr>
        <w:spacing w:before="80" w:after="100" w:line="340" w:lineRule="auto"/>
        <w:jc w:val="both"/>
        <w:rPr>
          <w:rFonts w:ascii="Calibri" w:hAnsi="Calibri" w:cs="Calibri"/>
        </w:rPr>
      </w:pPr>
      <w:r w:rsidRPr="00583339">
        <w:rPr>
          <w:rFonts w:ascii="Calibri" w:hAnsi="Calibri" w:cs="Calibri"/>
        </w:rPr>
        <w:t>DISCRETION is the most protective archetype for the junction actor. Without it, the senior nurse exercises competences the system has never explicitly authorised but that everyone expects from them. This gap is where professional suffering concentrates. DISCRETION does not eliminate discretion — it legitimises it within an explicit perimeter. This makes the role visible and creates the conditions for genuine workload redistribution: you cannot redistribute what you cannot see.</w:t>
      </w:r>
    </w:p>
    <w:p w14:paraId="4E746E53" w14:textId="77777777" w:rsidR="00ED5716" w:rsidRPr="00583339" w:rsidRDefault="00CF7F8C" w:rsidP="00583339">
      <w:pPr>
        <w:spacing w:before="80" w:after="100" w:line="340" w:lineRule="auto"/>
        <w:jc w:val="both"/>
        <w:rPr>
          <w:rFonts w:ascii="Calibri" w:hAnsi="Calibri" w:cs="Calibri"/>
        </w:rPr>
      </w:pPr>
      <w:r w:rsidRPr="00583339">
        <w:rPr>
          <w:rFonts w:ascii="Calibri" w:hAnsi="Calibri" w:cs="Calibri"/>
        </w:rPr>
        <w:t>ABSORB addresses what may be the least theoretically visible but most practically consequential gap: the out-of-protocol interactions that consume real time, require real competence, and produce real outcomes — reassurance, de-escalation, maintained trust — but appear in no dataset. Without ABSORB, the evidence base for arguing that the junction actor's load should be recognised or redistributed does not exist.</w:t>
      </w:r>
    </w:p>
    <w:p w14:paraId="63B948C2" w14:textId="77777777" w:rsidR="00ED5716" w:rsidRPr="00583339" w:rsidRDefault="00ED5716" w:rsidP="00583339">
      <w:pPr>
        <w:spacing w:before="160"/>
        <w:jc w:val="both"/>
        <w:rPr>
          <w:rFonts w:ascii="Calibri" w:hAnsi="Calibri" w:cs="Calibri"/>
        </w:rPr>
      </w:pPr>
    </w:p>
    <w:p w14:paraId="562915D0" w14:textId="77777777" w:rsidR="00ED5716" w:rsidRPr="00583339" w:rsidRDefault="00CF7F8C" w:rsidP="00583339">
      <w:pPr>
        <w:pStyle w:val="Heading1"/>
        <w:jc w:val="both"/>
        <w:rPr>
          <w:rFonts w:ascii="Calibri" w:hAnsi="Calibri" w:cs="Calibri"/>
        </w:rPr>
      </w:pPr>
      <w:r w:rsidRPr="00583339">
        <w:rPr>
          <w:rFonts w:ascii="Calibri" w:hAnsi="Calibri" w:cs="Calibri"/>
        </w:rPr>
        <w:t>7.  A larger theoretical question — closing aperture</w:t>
      </w:r>
    </w:p>
    <w:p w14:paraId="69932D3D" w14:textId="77777777" w:rsidR="00ED5716" w:rsidRPr="00583339" w:rsidRDefault="00CF7F8C" w:rsidP="00583339">
      <w:pPr>
        <w:spacing w:before="80" w:after="100" w:line="340" w:lineRule="auto"/>
        <w:jc w:val="both"/>
        <w:rPr>
          <w:rFonts w:ascii="Calibri" w:hAnsi="Calibri" w:cs="Calibri"/>
        </w:rPr>
      </w:pPr>
      <w:r w:rsidRPr="00583339">
        <w:rPr>
          <w:rFonts w:ascii="Calibri" w:hAnsi="Calibri" w:cs="Calibri"/>
        </w:rPr>
        <w:t>The argument developed in this paper operates at the level of governance architecture: how TGP must be extended to accommodate the realities of living systems. But the empirical case from Rovereto points, at its edges, toward a larger theoretical question that we name here without claiming to answer.</w:t>
      </w:r>
    </w:p>
    <w:p w14:paraId="4E3B5AB5" w14:textId="77777777" w:rsidR="00ED5716" w:rsidRPr="00583339" w:rsidRDefault="00CF7F8C" w:rsidP="00583339">
      <w:pPr>
        <w:spacing w:before="80" w:after="100" w:line="340" w:lineRule="auto"/>
        <w:jc w:val="both"/>
        <w:rPr>
          <w:rFonts w:ascii="Calibri" w:hAnsi="Calibri" w:cs="Calibri"/>
        </w:rPr>
      </w:pPr>
      <w:r w:rsidRPr="00583339">
        <w:rPr>
          <w:rFonts w:ascii="Calibri" w:hAnsi="Calibri" w:cs="Calibri"/>
        </w:rPr>
        <w:t xml:space="preserve">TGP can be read as an attempt to produce what might be called intermediate formalisation: a design space between the level of institutional logics — the normative orders that govern fields and organisations (Thornton, Ocasio &amp; Lounsbury, 2012) — and the level of practice-based theorising — the detailed, situated, often tacit practices through which organisational work is actually accomplished </w:t>
      </w:r>
      <w:r w:rsidRPr="00583339">
        <w:rPr>
          <w:rFonts w:ascii="Calibri" w:hAnsi="Calibri" w:cs="Calibri"/>
        </w:rPr>
        <w:lastRenderedPageBreak/>
        <w:t>(Gherardi, 2006; Nicolini, 2012; Schatzki, 2002). Institutional logics explain why clinical, administrative, and technical registers exist and why they are often in tension. Practice theories explain how actors navigate those tensions in concrete situations. TGP, in this reading, is the architecture that must be designed in the space between — formalised enough to produce accountability, flexible enough to accommodate the living work that makes accountability possible.</w:t>
      </w:r>
    </w:p>
    <w:p w14:paraId="5613B64F" w14:textId="77777777" w:rsidR="00ED5716" w:rsidRPr="00583339" w:rsidRDefault="00CF7F8C" w:rsidP="00583339">
      <w:pPr>
        <w:spacing w:before="80" w:after="100" w:line="340" w:lineRule="auto"/>
        <w:jc w:val="both"/>
        <w:rPr>
          <w:rFonts w:ascii="Calibri" w:hAnsi="Calibri" w:cs="Calibri"/>
        </w:rPr>
      </w:pPr>
      <w:r w:rsidRPr="00583339">
        <w:rPr>
          <w:rFonts w:ascii="Calibri" w:hAnsi="Calibri" w:cs="Calibri"/>
        </w:rPr>
        <w:t>Whether these three levels are theoretically compatible is a genuinely open question. In a conversation at a European Group for Organizational Studies conference, Patricia Thornton herself expressed scepticism about the possibility of a theoretical bridge between institutional logics and practice-based approaches — the epistemological commitments, she argued, are incommensurable. They explore contiguous territories with different lenses. If this is correct, TGP's value may lie precisely in its status as a practical device rather than a theoretical synthesis: not a bridge between paradigms, but a workbench where they can contribute without needing to agree. The design implications of this paper — accountable granularity, the JUNCTION role, the pre-communicative layer — are proposals for that workbench. Their theoretical grounding may be pluralist by necessity.</w:t>
      </w:r>
    </w:p>
    <w:p w14:paraId="4D45C566" w14:textId="77777777" w:rsidR="00ED5716" w:rsidRPr="00583339" w:rsidRDefault="00ED5716" w:rsidP="00583339">
      <w:pPr>
        <w:spacing w:before="160"/>
        <w:jc w:val="both"/>
        <w:rPr>
          <w:rFonts w:ascii="Calibri" w:hAnsi="Calibri" w:cs="Calibri"/>
        </w:rPr>
      </w:pPr>
    </w:p>
    <w:p w14:paraId="0345DB90" w14:textId="77777777" w:rsidR="00ED5716" w:rsidRPr="00583339" w:rsidRDefault="00CF7F8C" w:rsidP="00583339">
      <w:pPr>
        <w:pStyle w:val="Heading2"/>
        <w:jc w:val="both"/>
        <w:rPr>
          <w:rFonts w:ascii="Calibri" w:hAnsi="Calibri" w:cs="Calibri"/>
        </w:rPr>
      </w:pPr>
      <w:r w:rsidRPr="00583339">
        <w:rPr>
          <w:rFonts w:ascii="Calibri" w:hAnsi="Calibri" w:cs="Calibri"/>
        </w:rPr>
        <w:t>References</w:t>
      </w:r>
    </w:p>
    <w:p w14:paraId="2A04D059" w14:textId="77777777" w:rsidR="00ED5716" w:rsidRPr="00583339" w:rsidRDefault="00CF7F8C" w:rsidP="00583339">
      <w:pPr>
        <w:spacing w:before="80" w:after="100" w:line="340" w:lineRule="auto"/>
        <w:jc w:val="both"/>
        <w:rPr>
          <w:rFonts w:ascii="Calibri" w:hAnsi="Calibri" w:cs="Calibri"/>
        </w:rPr>
      </w:pPr>
      <w:r w:rsidRPr="00583339">
        <w:rPr>
          <w:rFonts w:ascii="Calibri" w:hAnsi="Calibri" w:cs="Calibri"/>
        </w:rPr>
        <w:t>Callon, M. (1986). Some elements of a sociology of translation. In J. Law (Ed.), Power, Action and Belief. Routledge.</w:t>
      </w:r>
    </w:p>
    <w:p w14:paraId="15B9A02F" w14:textId="77777777" w:rsidR="00ED5716" w:rsidRPr="00583339" w:rsidRDefault="00CF7F8C" w:rsidP="00583339">
      <w:pPr>
        <w:spacing w:before="80" w:after="100" w:line="340" w:lineRule="auto"/>
        <w:jc w:val="both"/>
        <w:rPr>
          <w:rFonts w:ascii="Calibri" w:hAnsi="Calibri" w:cs="Calibri"/>
        </w:rPr>
      </w:pPr>
      <w:r w:rsidRPr="00583339">
        <w:rPr>
          <w:rFonts w:ascii="Calibri" w:hAnsi="Calibri" w:cs="Calibri"/>
        </w:rPr>
        <w:t>Gerson, E.M. &amp; Star, S.L. (1986). Analyzing due process in the workplace. ACM Transactions on Office Information Systems, 4(3), 257–270.</w:t>
      </w:r>
    </w:p>
    <w:p w14:paraId="0D42D7E2" w14:textId="77777777" w:rsidR="00ED5716" w:rsidRPr="00583339" w:rsidRDefault="00CF7F8C" w:rsidP="00583339">
      <w:pPr>
        <w:spacing w:before="80" w:after="100" w:line="340" w:lineRule="auto"/>
        <w:jc w:val="both"/>
        <w:rPr>
          <w:rFonts w:ascii="Calibri" w:hAnsi="Calibri" w:cs="Calibri"/>
        </w:rPr>
      </w:pPr>
      <w:r w:rsidRPr="00583339">
        <w:rPr>
          <w:rFonts w:ascii="Calibri" w:hAnsi="Calibri" w:cs="Calibri"/>
        </w:rPr>
        <w:t>Galison, P. (1997). Image and Logic: A Material Culture of Microphysics. University of Chicago Press.</w:t>
      </w:r>
    </w:p>
    <w:p w14:paraId="5860C467" w14:textId="77777777" w:rsidR="00ED5716" w:rsidRPr="00583339" w:rsidRDefault="00CF7F8C" w:rsidP="00583339">
      <w:pPr>
        <w:spacing w:before="80" w:after="100" w:line="340" w:lineRule="auto"/>
        <w:jc w:val="both"/>
        <w:rPr>
          <w:rFonts w:ascii="Calibri" w:hAnsi="Calibri" w:cs="Calibri"/>
        </w:rPr>
      </w:pPr>
      <w:r w:rsidRPr="00583339">
        <w:rPr>
          <w:rFonts w:ascii="Calibri" w:hAnsi="Calibri" w:cs="Calibri"/>
        </w:rPr>
        <w:t>Gherardi, S. (2006). Organizational Knowledge: The Texture of Workplace Learning. Blackwell.</w:t>
      </w:r>
    </w:p>
    <w:p w14:paraId="135B9251" w14:textId="77777777" w:rsidR="00ED5716" w:rsidRPr="00583339" w:rsidRDefault="00CF7F8C" w:rsidP="00583339">
      <w:pPr>
        <w:spacing w:before="80" w:after="100" w:line="340" w:lineRule="auto"/>
        <w:jc w:val="both"/>
        <w:rPr>
          <w:rFonts w:ascii="Calibri" w:hAnsi="Calibri" w:cs="Calibri"/>
        </w:rPr>
      </w:pPr>
      <w:r w:rsidRPr="00583339">
        <w:rPr>
          <w:rFonts w:ascii="Calibri" w:hAnsi="Calibri" w:cs="Calibri"/>
        </w:rPr>
        <w:t>Latour, B. (2005). Reassembling the Social. Oxford University Press.</w:t>
      </w:r>
    </w:p>
    <w:p w14:paraId="3B08DA4F" w14:textId="77777777" w:rsidR="00ED5716" w:rsidRPr="00583339" w:rsidRDefault="00CF7F8C" w:rsidP="00583339">
      <w:pPr>
        <w:spacing w:before="80" w:after="100" w:line="340" w:lineRule="auto"/>
        <w:jc w:val="both"/>
        <w:rPr>
          <w:rFonts w:ascii="Calibri" w:hAnsi="Calibri" w:cs="Calibri"/>
        </w:rPr>
      </w:pPr>
      <w:r w:rsidRPr="00583339">
        <w:rPr>
          <w:rFonts w:ascii="Calibri" w:hAnsi="Calibri" w:cs="Calibri"/>
        </w:rPr>
        <w:t>Martin, M. (2024). The Trustworthy, Governable Platform: supporting accountability and governability in complex, multi-party enterprise. Newcastle Business School, Northumbria University.</w:t>
      </w:r>
    </w:p>
    <w:p w14:paraId="5DABDAF8" w14:textId="77777777" w:rsidR="00ED5716" w:rsidRPr="00583339" w:rsidRDefault="00CF7F8C" w:rsidP="00583339">
      <w:pPr>
        <w:spacing w:before="80" w:after="100" w:line="340" w:lineRule="auto"/>
        <w:jc w:val="both"/>
        <w:rPr>
          <w:rFonts w:ascii="Calibri" w:hAnsi="Calibri" w:cs="Calibri"/>
        </w:rPr>
      </w:pPr>
      <w:r w:rsidRPr="00583339">
        <w:rPr>
          <w:rFonts w:ascii="Calibri" w:hAnsi="Calibri" w:cs="Calibri"/>
        </w:rPr>
        <w:t>Mol, A. (2002). The Body Multiple: Ontology in Medical Practice. Duke University Press.</w:t>
      </w:r>
    </w:p>
    <w:p w14:paraId="24FC46DE" w14:textId="77777777" w:rsidR="00ED5716" w:rsidRPr="00583339" w:rsidRDefault="00CF7F8C" w:rsidP="00583339">
      <w:pPr>
        <w:spacing w:before="80" w:after="100" w:line="340" w:lineRule="auto"/>
        <w:jc w:val="both"/>
        <w:rPr>
          <w:rFonts w:ascii="Calibri" w:hAnsi="Calibri" w:cs="Calibri"/>
        </w:rPr>
      </w:pPr>
      <w:r w:rsidRPr="00583339">
        <w:rPr>
          <w:rFonts w:ascii="Calibri" w:hAnsi="Calibri" w:cs="Calibri"/>
        </w:rPr>
        <w:t>Nicolini, D. (2012). Practice Theory, Work, and Organization. Oxford University Press.</w:t>
      </w:r>
    </w:p>
    <w:p w14:paraId="7D378644" w14:textId="77777777" w:rsidR="00ED5716" w:rsidRPr="00583339" w:rsidRDefault="00CF7F8C" w:rsidP="00583339">
      <w:pPr>
        <w:spacing w:before="80" w:after="100" w:line="340" w:lineRule="auto"/>
        <w:jc w:val="both"/>
        <w:rPr>
          <w:rFonts w:ascii="Calibri" w:hAnsi="Calibri" w:cs="Calibri"/>
        </w:rPr>
      </w:pPr>
      <w:r w:rsidRPr="00583339">
        <w:rPr>
          <w:rFonts w:ascii="Calibri" w:hAnsi="Calibri" w:cs="Calibri"/>
        </w:rPr>
        <w:t>Nissenbaum, H. (2010). Privacy in Context. Stanford University Press.</w:t>
      </w:r>
    </w:p>
    <w:p w14:paraId="5626D3D1" w14:textId="77777777" w:rsidR="00ED5716" w:rsidRPr="00583339" w:rsidRDefault="00CF7F8C" w:rsidP="00583339">
      <w:pPr>
        <w:spacing w:before="80" w:after="100" w:line="340" w:lineRule="auto"/>
        <w:jc w:val="both"/>
        <w:rPr>
          <w:rFonts w:ascii="Calibri" w:hAnsi="Calibri" w:cs="Calibri"/>
        </w:rPr>
      </w:pPr>
      <w:r w:rsidRPr="00583339">
        <w:rPr>
          <w:rFonts w:ascii="Calibri" w:hAnsi="Calibri" w:cs="Calibri"/>
        </w:rPr>
        <w:t>Piras, E.M. &amp; Zanutto, A. (2016). Junction Work: Electronic Health Records and the reorganisation of work in a paediatric context. Proceedings of COOP 2016. Springer.</w:t>
      </w:r>
    </w:p>
    <w:p w14:paraId="2A98CF2B" w14:textId="77777777" w:rsidR="00ED5716" w:rsidRPr="00583339" w:rsidRDefault="00CF7F8C" w:rsidP="00583339">
      <w:pPr>
        <w:spacing w:before="80" w:after="100" w:line="340" w:lineRule="auto"/>
        <w:jc w:val="both"/>
        <w:rPr>
          <w:rFonts w:ascii="Calibri" w:hAnsi="Calibri" w:cs="Calibri"/>
        </w:rPr>
      </w:pPr>
      <w:r w:rsidRPr="00583339">
        <w:rPr>
          <w:rFonts w:ascii="Calibri" w:hAnsi="Calibri" w:cs="Calibri"/>
        </w:rPr>
        <w:t>Schatzki, T.R. (2002). The Site of the Social. Pennsylvania State University Press.</w:t>
      </w:r>
    </w:p>
    <w:p w14:paraId="43508115" w14:textId="77777777" w:rsidR="00ED5716" w:rsidRPr="00583339" w:rsidRDefault="00CF7F8C" w:rsidP="00583339">
      <w:pPr>
        <w:spacing w:before="80" w:after="100" w:line="340" w:lineRule="auto"/>
        <w:jc w:val="both"/>
        <w:rPr>
          <w:rFonts w:ascii="Calibri" w:hAnsi="Calibri" w:cs="Calibri"/>
        </w:rPr>
      </w:pPr>
      <w:r w:rsidRPr="00583339">
        <w:rPr>
          <w:rFonts w:ascii="Calibri" w:hAnsi="Calibri" w:cs="Calibri"/>
        </w:rPr>
        <w:lastRenderedPageBreak/>
        <w:t>Star, S.L. &amp; Strauss, A. (1999). Layers of Silence, Arenas of Voice: The Ecology of Visible and Invisible Work. CSCW, 8(1–2), 9–30.</w:t>
      </w:r>
    </w:p>
    <w:p w14:paraId="0274E204" w14:textId="77777777" w:rsidR="00ED5716" w:rsidRPr="00583339" w:rsidRDefault="00CF7F8C" w:rsidP="00583339">
      <w:pPr>
        <w:spacing w:before="80" w:after="100" w:line="340" w:lineRule="auto"/>
        <w:jc w:val="both"/>
        <w:rPr>
          <w:rFonts w:ascii="Calibri" w:hAnsi="Calibri" w:cs="Calibri"/>
        </w:rPr>
      </w:pPr>
      <w:r w:rsidRPr="00583339">
        <w:rPr>
          <w:rFonts w:ascii="Calibri" w:hAnsi="Calibri" w:cs="Calibri"/>
        </w:rPr>
        <w:t>Strauss, A. (1985). Work and the division of labor. The Sociological Quarterly, 26(1), 1–19.</w:t>
      </w:r>
    </w:p>
    <w:p w14:paraId="590F6FB2" w14:textId="77777777" w:rsidR="00ED5716" w:rsidRPr="00583339" w:rsidRDefault="00CF7F8C" w:rsidP="00583339">
      <w:pPr>
        <w:spacing w:before="80" w:after="100" w:line="340" w:lineRule="auto"/>
        <w:jc w:val="both"/>
        <w:rPr>
          <w:rFonts w:ascii="Calibri" w:hAnsi="Calibri" w:cs="Calibri"/>
        </w:rPr>
      </w:pPr>
      <w:r w:rsidRPr="00583339">
        <w:rPr>
          <w:rFonts w:ascii="Calibri" w:hAnsi="Calibri" w:cs="Calibri"/>
        </w:rPr>
        <w:t>Thornton, P.H., Ocasio, W. &amp; Lounsbury, M. (2012). The Institutional Logics Perspective. Oxford University Press.</w:t>
      </w:r>
    </w:p>
    <w:p w14:paraId="403CDB01" w14:textId="77777777" w:rsidR="00ED5716" w:rsidRPr="00583339" w:rsidRDefault="00CF7F8C" w:rsidP="00583339">
      <w:pPr>
        <w:spacing w:before="80" w:after="100" w:line="340" w:lineRule="auto"/>
        <w:jc w:val="both"/>
        <w:rPr>
          <w:rFonts w:ascii="Calibri" w:hAnsi="Calibri" w:cs="Calibri"/>
        </w:rPr>
      </w:pPr>
      <w:r w:rsidRPr="00583339">
        <w:rPr>
          <w:rFonts w:ascii="Calibri" w:hAnsi="Calibri" w:cs="Calibri"/>
        </w:rPr>
        <w:t>Winograd, T. &amp; Flores, F. (1986). Understanding Computers and Cognition. Ablex Publishing.</w:t>
      </w:r>
    </w:p>
    <w:p w14:paraId="79AA8FF3" w14:textId="77777777" w:rsidR="00ED5716" w:rsidRPr="00583339" w:rsidRDefault="00ED5716" w:rsidP="00583339">
      <w:pPr>
        <w:spacing w:before="160"/>
        <w:jc w:val="both"/>
        <w:rPr>
          <w:rFonts w:ascii="Calibri" w:hAnsi="Calibri" w:cs="Calibri"/>
        </w:rPr>
      </w:pPr>
    </w:p>
    <w:sectPr w:rsidR="00ED5716" w:rsidRPr="00583339">
      <w:footerReference w:type="default" r:id="rId7"/>
      <w:pgSz w:w="11906" w:h="16838"/>
      <w:pgMar w:top="1440" w:right="1440" w:bottom="1440" w:left="1440" w:header="708" w:footer="708"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4C542E3" w14:textId="77777777" w:rsidR="00480280" w:rsidRDefault="00480280">
      <w:r>
        <w:separator/>
      </w:r>
    </w:p>
  </w:endnote>
  <w:endnote w:type="continuationSeparator" w:id="0">
    <w:p w14:paraId="19D711C0" w14:textId="77777777" w:rsidR="00480280" w:rsidRDefault="0048028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ACFF" w:usb2="00000009" w:usb3="00000000" w:csb0="000001FF" w:csb1="00000000"/>
  </w:font>
  <w:font w:name="Aptos Display">
    <w:panose1 w:val="020B0004020202020204"/>
    <w:charset w:val="00"/>
    <w:family w:val="swiss"/>
    <w:pitch w:val="variable"/>
    <w:sig w:usb0="20000287" w:usb1="00000003" w:usb2="00000000" w:usb3="00000000" w:csb0="0000019F" w:csb1="00000000"/>
  </w:font>
  <w:font w:name="Aptos">
    <w:panose1 w:val="020B0004020202020204"/>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51BB7CA" w14:textId="77777777" w:rsidR="00ED5716" w:rsidRDefault="00CF7F8C">
    <w:pPr>
      <w:pBdr>
        <w:top w:val="single" w:sz="4" w:space="6" w:color="CCCCCC"/>
      </w:pBdr>
      <w:jc w:val="right"/>
    </w:pPr>
    <w:r>
      <w:rPr>
        <w:i/>
        <w:iCs/>
        <w:color w:val="888780"/>
        <w:sz w:val="18"/>
        <w:szCs w:val="18"/>
      </w:rPr>
      <w:t>Not for citation — working draft</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4A96697" w14:textId="77777777" w:rsidR="00480280" w:rsidRDefault="00480280">
      <w:r>
        <w:separator/>
      </w:r>
    </w:p>
  </w:footnote>
  <w:footnote w:type="continuationSeparator" w:id="0">
    <w:p w14:paraId="2D8A47F2" w14:textId="77777777" w:rsidR="00480280" w:rsidRDefault="00480280">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4B004D5"/>
    <w:multiLevelType w:val="hybridMultilevel"/>
    <w:tmpl w:val="1E420CCC"/>
    <w:lvl w:ilvl="0" w:tplc="2FEA7B08">
      <w:start w:val="1"/>
      <w:numFmt w:val="bullet"/>
      <w:lvlText w:val="●"/>
      <w:lvlJc w:val="left"/>
      <w:pPr>
        <w:ind w:left="720" w:hanging="360"/>
      </w:pPr>
    </w:lvl>
    <w:lvl w:ilvl="1" w:tplc="615CA580">
      <w:start w:val="1"/>
      <w:numFmt w:val="bullet"/>
      <w:lvlText w:val="○"/>
      <w:lvlJc w:val="left"/>
      <w:pPr>
        <w:ind w:left="1440" w:hanging="360"/>
      </w:pPr>
    </w:lvl>
    <w:lvl w:ilvl="2" w:tplc="B5FAA720">
      <w:start w:val="1"/>
      <w:numFmt w:val="bullet"/>
      <w:lvlText w:val="■"/>
      <w:lvlJc w:val="left"/>
      <w:pPr>
        <w:ind w:left="2160" w:hanging="360"/>
      </w:pPr>
    </w:lvl>
    <w:lvl w:ilvl="3" w:tplc="2562763A">
      <w:start w:val="1"/>
      <w:numFmt w:val="bullet"/>
      <w:lvlText w:val="●"/>
      <w:lvlJc w:val="left"/>
      <w:pPr>
        <w:ind w:left="2880" w:hanging="360"/>
      </w:pPr>
    </w:lvl>
    <w:lvl w:ilvl="4" w:tplc="EC10BF3C">
      <w:start w:val="1"/>
      <w:numFmt w:val="bullet"/>
      <w:lvlText w:val="○"/>
      <w:lvlJc w:val="left"/>
      <w:pPr>
        <w:ind w:left="3600" w:hanging="360"/>
      </w:pPr>
    </w:lvl>
    <w:lvl w:ilvl="5" w:tplc="DC9E4316">
      <w:start w:val="1"/>
      <w:numFmt w:val="bullet"/>
      <w:lvlText w:val="■"/>
      <w:lvlJc w:val="left"/>
      <w:pPr>
        <w:ind w:left="4320" w:hanging="360"/>
      </w:pPr>
    </w:lvl>
    <w:lvl w:ilvl="6" w:tplc="FDF2DA8A">
      <w:start w:val="1"/>
      <w:numFmt w:val="bullet"/>
      <w:lvlText w:val="●"/>
      <w:lvlJc w:val="left"/>
      <w:pPr>
        <w:ind w:left="5040" w:hanging="360"/>
      </w:pPr>
    </w:lvl>
    <w:lvl w:ilvl="7" w:tplc="81F4E218">
      <w:start w:val="1"/>
      <w:numFmt w:val="bullet"/>
      <w:lvlText w:val="●"/>
      <w:lvlJc w:val="left"/>
      <w:pPr>
        <w:ind w:left="5760" w:hanging="360"/>
      </w:pPr>
    </w:lvl>
    <w:lvl w:ilvl="8" w:tplc="6A3E2B80">
      <w:start w:val="1"/>
      <w:numFmt w:val="bullet"/>
      <w:lvlText w:val="●"/>
      <w:lvlJc w:val="left"/>
      <w:pPr>
        <w:ind w:left="6480" w:hanging="360"/>
      </w:pPr>
    </w:lvl>
  </w:abstractNum>
  <w:abstractNum w:abstractNumId="1" w15:restartNumberingAfterBreak="0">
    <w:nsid w:val="2AFF2455"/>
    <w:multiLevelType w:val="hybridMultilevel"/>
    <w:tmpl w:val="FD24E886"/>
    <w:lvl w:ilvl="0" w:tplc="083AD208">
      <w:start w:val="1"/>
      <w:numFmt w:val="bullet"/>
      <w:lvlText w:val="•"/>
      <w:lvlJc w:val="left"/>
      <w:pPr>
        <w:ind w:left="640" w:hanging="320"/>
      </w:pPr>
    </w:lvl>
    <w:lvl w:ilvl="1" w:tplc="F8E864F0">
      <w:numFmt w:val="decimal"/>
      <w:lvlText w:val=""/>
      <w:lvlJc w:val="left"/>
    </w:lvl>
    <w:lvl w:ilvl="2" w:tplc="B3322682">
      <w:numFmt w:val="decimal"/>
      <w:lvlText w:val=""/>
      <w:lvlJc w:val="left"/>
    </w:lvl>
    <w:lvl w:ilvl="3" w:tplc="A8EC13DA">
      <w:numFmt w:val="decimal"/>
      <w:lvlText w:val=""/>
      <w:lvlJc w:val="left"/>
    </w:lvl>
    <w:lvl w:ilvl="4" w:tplc="EBE2E238">
      <w:numFmt w:val="decimal"/>
      <w:lvlText w:val=""/>
      <w:lvlJc w:val="left"/>
    </w:lvl>
    <w:lvl w:ilvl="5" w:tplc="3762FF58">
      <w:numFmt w:val="decimal"/>
      <w:lvlText w:val=""/>
      <w:lvlJc w:val="left"/>
    </w:lvl>
    <w:lvl w:ilvl="6" w:tplc="6860902C">
      <w:numFmt w:val="decimal"/>
      <w:lvlText w:val=""/>
      <w:lvlJc w:val="left"/>
    </w:lvl>
    <w:lvl w:ilvl="7" w:tplc="7EBC5E2C">
      <w:numFmt w:val="decimal"/>
      <w:lvlText w:val=""/>
      <w:lvlJc w:val="left"/>
    </w:lvl>
    <w:lvl w:ilvl="8" w:tplc="2CDC7B54">
      <w:numFmt w:val="decimal"/>
      <w:lvlText w:val=""/>
      <w:lvlJc w:val="left"/>
    </w:lvl>
  </w:abstractNum>
  <w:num w:numId="1" w16cid:durableId="1423456636">
    <w:abstractNumId w:val="0"/>
    <w:lvlOverride w:ilvl="0">
      <w:startOverride w:val="1"/>
    </w:lvlOverride>
  </w:num>
  <w:num w:numId="2" w16cid:durableId="1726373057">
    <w:abstractNumId w:val="1"/>
    <w:lvlOverride w:ilvl="0">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50"/>
  <w:displayBackgroundShape/>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D5716"/>
    <w:rsid w:val="00014DA9"/>
    <w:rsid w:val="00297C0B"/>
    <w:rsid w:val="00480280"/>
    <w:rsid w:val="00583339"/>
    <w:rsid w:val="009127E1"/>
    <w:rsid w:val="00A9487F"/>
    <w:rsid w:val="00B83B39"/>
    <w:rsid w:val="00CA1D48"/>
    <w:rsid w:val="00CF7F8C"/>
    <w:rsid w:val="00ED5716"/>
  </w:rsids>
  <m:mathPr>
    <m:mathFont m:val="Cambria Math"/>
    <m:brkBin m:val="before"/>
    <m:brkBinSub m:val="--"/>
    <m:smallFrac m:val="0"/>
    <m:dispDef/>
    <m:lMargin m:val="0"/>
    <m:rMargin m:val="0"/>
    <m:defJc m:val="centerGroup"/>
    <m:wrapIndent m:val="1440"/>
    <m:intLim m:val="subSup"/>
    <m:naryLim m:val="undOvr"/>
  </m:mathPr>
  <w:themeFontLang w:val="en-IT"/>
  <w:clrSchemeMapping w:bg1="light1" w:t1="dark1" w:bg2="light2" w:t2="dark2" w:accent1="accent1" w:accent2="accent2" w:accent3="accent3" w:accent4="accent4" w:accent5="accent5" w:accent6="accent6" w:hyperlink="hyperlink" w:followedHyperlink="followedHyperlink"/>
  <w:decimalSymbol w:val=","/>
  <w:listSeparator w:val=","/>
  <w14:docId w14:val="62C34C4A"/>
  <w15:docId w15:val="{06910D8C-DB78-B045-9B71-304E540DB1D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Arial" w:hAnsi="Arial" w:cs="Arial"/>
        <w:color w:val="444441"/>
        <w:sz w:val="22"/>
        <w:szCs w:val="22"/>
        <w:lang w:val="en-IT" w:eastAsia="en-GB"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uiPriority w:val="9"/>
    <w:qFormat/>
    <w:pPr>
      <w:spacing w:before="360" w:after="160"/>
      <w:outlineLvl w:val="0"/>
    </w:pPr>
    <w:rPr>
      <w:b/>
      <w:bCs/>
      <w:sz w:val="34"/>
      <w:szCs w:val="34"/>
    </w:rPr>
  </w:style>
  <w:style w:type="paragraph" w:styleId="Heading2">
    <w:name w:val="heading 2"/>
    <w:uiPriority w:val="9"/>
    <w:unhideWhenUsed/>
    <w:qFormat/>
    <w:pPr>
      <w:spacing w:before="240" w:after="120"/>
      <w:outlineLvl w:val="1"/>
    </w:pPr>
    <w:rPr>
      <w:b/>
      <w:bCs/>
      <w:sz w:val="26"/>
      <w:szCs w:val="26"/>
    </w:rPr>
  </w:style>
  <w:style w:type="paragraph" w:styleId="Heading3">
    <w:name w:val="heading 3"/>
    <w:uiPriority w:val="9"/>
    <w:semiHidden/>
    <w:unhideWhenUsed/>
    <w:qFormat/>
    <w:pPr>
      <w:spacing w:before="180" w:after="80"/>
      <w:outlineLvl w:val="2"/>
    </w:pPr>
    <w:rPr>
      <w:b/>
      <w:bCs/>
    </w:rPr>
  </w:style>
  <w:style w:type="paragraph" w:styleId="Heading4">
    <w:name w:val="heading 4"/>
    <w:uiPriority w:val="9"/>
    <w:semiHidden/>
    <w:unhideWhenUsed/>
    <w:qFormat/>
    <w:pPr>
      <w:outlineLvl w:val="3"/>
    </w:pPr>
    <w:rPr>
      <w:i/>
      <w:iCs/>
      <w:color w:val="2E74B5"/>
    </w:rPr>
  </w:style>
  <w:style w:type="paragraph" w:styleId="Heading5">
    <w:name w:val="heading 5"/>
    <w:uiPriority w:val="9"/>
    <w:semiHidden/>
    <w:unhideWhenUsed/>
    <w:qFormat/>
    <w:pPr>
      <w:outlineLvl w:val="4"/>
    </w:pPr>
    <w:rPr>
      <w:color w:val="2E74B5"/>
    </w:rPr>
  </w:style>
  <w:style w:type="paragraph" w:styleId="Heading6">
    <w:name w:val="heading 6"/>
    <w:uiPriority w:val="9"/>
    <w:semiHidden/>
    <w:unhideWhenUsed/>
    <w:qFormat/>
    <w:pPr>
      <w:outlineLvl w:val="5"/>
    </w:pPr>
    <w:rPr>
      <w:color w:val="1F4D7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uiPriority w:val="10"/>
    <w:qFormat/>
    <w:rPr>
      <w:sz w:val="56"/>
      <w:szCs w:val="56"/>
    </w:rPr>
  </w:style>
  <w:style w:type="paragraph" w:customStyle="1" w:styleId="Strong1">
    <w:name w:val="Strong1"/>
    <w:qFormat/>
    <w:rPr>
      <w:b/>
      <w:bCs/>
    </w:rPr>
  </w:style>
  <w:style w:type="paragraph" w:styleId="ListParagraph">
    <w:name w:val="List Paragraph"/>
    <w:qFormat/>
  </w:style>
  <w:style w:type="character" w:styleId="Hyperlink">
    <w:name w:val="Hyperlink"/>
    <w:uiPriority w:val="99"/>
    <w:unhideWhenUsed/>
    <w:rPr>
      <w:color w:val="0563C1"/>
      <w:u w:val="single"/>
    </w:rPr>
  </w:style>
  <w:style w:type="character" w:styleId="FootnoteReference">
    <w:name w:val="footnote reference"/>
    <w:uiPriority w:val="99"/>
    <w:semiHidden/>
    <w:unhideWhenUsed/>
    <w:rPr>
      <w:vertAlign w:val="superscript"/>
    </w:rPr>
  </w:style>
  <w:style w:type="paragraph" w:styleId="FootnoteText">
    <w:name w:val="footnote text"/>
    <w:link w:val="FootnoteTextChar"/>
    <w:uiPriority w:val="99"/>
    <w:semiHidden/>
    <w:unhideWhenUsed/>
    <w:rPr>
      <w:sz w:val="20"/>
      <w:szCs w:val="20"/>
    </w:rPr>
  </w:style>
  <w:style w:type="character" w:customStyle="1" w:styleId="FootnoteTextChar">
    <w:name w:val="Footnote Text Char"/>
    <w:link w:val="FootnoteText"/>
    <w:uiPriority w:val="99"/>
    <w:semiHidden/>
    <w:unhideWhenUsed/>
    <w:rPr>
      <w:sz w:val="20"/>
      <w:szCs w:val="20"/>
    </w:rPr>
  </w:style>
  <w:style w:type="character" w:styleId="EndnoteReference">
    <w:name w:val="endnote reference"/>
    <w:uiPriority w:val="99"/>
    <w:semiHidden/>
    <w:unhideWhenUsed/>
    <w:rPr>
      <w:vertAlign w:val="superscript"/>
    </w:rPr>
  </w:style>
  <w:style w:type="paragraph" w:styleId="EndnoteText">
    <w:name w:val="endnote text"/>
    <w:link w:val="EndnoteTextChar"/>
    <w:uiPriority w:val="99"/>
    <w:semiHidden/>
    <w:unhideWhenUsed/>
    <w:rPr>
      <w:sz w:val="20"/>
      <w:szCs w:val="20"/>
    </w:rPr>
  </w:style>
  <w:style w:type="character" w:customStyle="1" w:styleId="EndnoteTextChar">
    <w:name w:val="Endnote Text Char"/>
    <w:link w:val="EndnoteText"/>
    <w:uiPriority w:val="99"/>
    <w:semiHidden/>
    <w:unhideWhenUsed/>
    <w:rPr>
      <w:sz w:val="20"/>
      <w:szCs w:val="20"/>
    </w:rPr>
  </w:style>
  <w:style w:type="paragraph" w:styleId="Header">
    <w:name w:val="header"/>
    <w:basedOn w:val="Normal"/>
    <w:link w:val="HeaderChar"/>
    <w:uiPriority w:val="99"/>
    <w:unhideWhenUsed/>
    <w:rsid w:val="00583339"/>
    <w:pPr>
      <w:tabs>
        <w:tab w:val="center" w:pos="4513"/>
        <w:tab w:val="right" w:pos="9026"/>
      </w:tabs>
    </w:pPr>
  </w:style>
  <w:style w:type="character" w:customStyle="1" w:styleId="HeaderChar">
    <w:name w:val="Header Char"/>
    <w:basedOn w:val="DefaultParagraphFont"/>
    <w:link w:val="Header"/>
    <w:uiPriority w:val="99"/>
    <w:rsid w:val="00583339"/>
  </w:style>
  <w:style w:type="paragraph" w:styleId="Footer">
    <w:name w:val="footer"/>
    <w:basedOn w:val="Normal"/>
    <w:link w:val="FooterChar"/>
    <w:uiPriority w:val="99"/>
    <w:unhideWhenUsed/>
    <w:rsid w:val="00583339"/>
    <w:pPr>
      <w:tabs>
        <w:tab w:val="center" w:pos="4513"/>
        <w:tab w:val="right" w:pos="9026"/>
      </w:tabs>
    </w:pPr>
  </w:style>
  <w:style w:type="character" w:customStyle="1" w:styleId="FooterChar">
    <w:name w:val="Footer Char"/>
    <w:basedOn w:val="DefaultParagraphFont"/>
    <w:link w:val="Footer"/>
    <w:uiPriority w:val="99"/>
    <w:rsid w:val="0058333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Normal.dotm</Template>
  <TotalTime>2</TotalTime>
  <Pages>12</Pages>
  <Words>4442</Words>
  <Characters>25326</Characters>
  <Application>Microsoft Office Word</Application>
  <DocSecurity>0</DocSecurity>
  <Lines>211</Lines>
  <Paragraphs>59</Paragraphs>
  <ScaleCrop>false</ScaleCrop>
  <HeadingPairs>
    <vt:vector size="2" baseType="variant">
      <vt:variant>
        <vt:lpstr>Title</vt:lpstr>
      </vt:variant>
      <vt:variant>
        <vt:i4>1</vt:i4>
      </vt:variant>
    </vt:vector>
  </HeadingPairs>
  <TitlesOfParts>
    <vt:vector size="1" baseType="lpstr">
      <vt:lpstr/>
    </vt:vector>
  </TitlesOfParts>
  <Company>FBK</Company>
  <LinksUpToDate>false</LinksUpToDate>
  <CharactersWithSpaces>29709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Un-named</dc:creator>
  <cp:keywords/>
  <dc:description/>
  <cp:lastModifiedBy>Alberto Zanutto</cp:lastModifiedBy>
  <cp:revision>2</cp:revision>
  <dcterms:created xsi:type="dcterms:W3CDTF">2026-04-06T08:21:00Z</dcterms:created>
  <dcterms:modified xsi:type="dcterms:W3CDTF">2026-04-06T08:21:00Z</dcterms:modified>
</cp:coreProperties>
</file>